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D" w:rsidRDefault="00660FFD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305A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43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83D">
        <w:rPr>
          <w:rFonts w:ascii="Times New Roman" w:eastAsia="Calibri" w:hAnsi="Times New Roman" w:cs="Times New Roman"/>
          <w:sz w:val="24"/>
          <w:szCs w:val="24"/>
        </w:rPr>
        <w:t>10</w:t>
      </w:r>
      <w:r w:rsidR="007E43FA">
        <w:rPr>
          <w:rFonts w:ascii="Times New Roman" w:eastAsia="Calibri" w:hAnsi="Times New Roman" w:cs="Times New Roman"/>
          <w:sz w:val="24"/>
          <w:szCs w:val="24"/>
        </w:rPr>
        <w:t xml:space="preserve"> stycznia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3FA">
        <w:rPr>
          <w:rFonts w:ascii="Times New Roman" w:eastAsia="Calibri" w:hAnsi="Times New Roman" w:cs="Times New Roman"/>
          <w:sz w:val="24"/>
          <w:szCs w:val="24"/>
        </w:rPr>
        <w:t>2019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D0D24" w:rsidRPr="00985EB3" w:rsidRDefault="00AD0D24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2B462C" w:rsidRPr="00985EB3" w:rsidRDefault="002B462C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7E43FA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BA3AB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7E43FA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FA4AAD" w:rsidRDefault="00AD0D24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270932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>w Krakowie Nr 131/2010 z dnia 19 listopada 2010 roku w sprawie szczegółowych zasad odbywania praktyki przez aplikantów aplikacji sędziowskiej, prokuratorskiej oraz ogólnej (tekst ujednolicony), uprzejmie przedstawiam szczegółowy zakres tematyczny,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952113">
        <w:rPr>
          <w:rFonts w:ascii="Times New Roman" w:eastAsia="Calibri" w:hAnsi="Times New Roman" w:cs="Times New Roman"/>
          <w:sz w:val="24"/>
          <w:szCs w:val="24"/>
        </w:rPr>
        <w:t>po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E70FD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E43FA">
        <w:rPr>
          <w:rFonts w:ascii="Times New Roman" w:eastAsia="Calibri" w:hAnsi="Times New Roman" w:cs="Times New Roman"/>
          <w:b/>
          <w:sz w:val="24"/>
          <w:szCs w:val="24"/>
        </w:rPr>
        <w:t>25 lutego 2019 r. do 8 marca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>w prokuraturach rejonowych.</w:t>
      </w:r>
    </w:p>
    <w:p w:rsidR="00735F0A" w:rsidRPr="00FA4AAD" w:rsidRDefault="00DE256F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>Założeniem praktyki jest zaznajomienie aplikantów z czynnościami i metodyką pracy patronów praktyk</w:t>
      </w:r>
      <w:r w:rsidR="00F75086">
        <w:rPr>
          <w:rFonts w:ascii="Times New Roman" w:eastAsia="Calibri" w:hAnsi="Times New Roman" w:cs="Times New Roman"/>
          <w:sz w:val="24"/>
          <w:szCs w:val="24"/>
        </w:rPr>
        <w:t xml:space="preserve"> oraz doskonalenie umiejętności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wykorzystania wiedzy teoretycznej              i znajomości orzecznictwa. Każdorazowo praktyka </w:t>
      </w:r>
      <w:r w:rsidR="0050383D">
        <w:rPr>
          <w:rFonts w:ascii="Times New Roman" w:eastAsia="Calibri" w:hAnsi="Times New Roman" w:cs="Times New Roman"/>
          <w:sz w:val="24"/>
          <w:szCs w:val="24"/>
        </w:rPr>
        <w:t>po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winna utrwalić wiedzę zdobytą podczas bezpośrednio poprzedzających ją zajęć seminaryjnych w ramach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E256F">
        <w:rPr>
          <w:rFonts w:ascii="Times New Roman" w:eastAsia="Calibri" w:hAnsi="Times New Roman" w:cs="Times New Roman"/>
          <w:sz w:val="24"/>
          <w:szCs w:val="24"/>
        </w:rPr>
        <w:t>jazdu.</w:t>
      </w:r>
    </w:p>
    <w:p w:rsidR="00814B7D" w:rsidRPr="00814B7D" w:rsidRDefault="00660FFD" w:rsidP="00FA5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>
        <w:rPr>
          <w:rFonts w:ascii="Times New Roman" w:eastAsia="Calibri" w:hAnsi="Times New Roman" w:cs="Times New Roman"/>
          <w:sz w:val="24"/>
          <w:szCs w:val="24"/>
        </w:rPr>
        <w:t>X</w:t>
      </w:r>
      <w:r w:rsidR="007E43FA">
        <w:rPr>
          <w:rFonts w:ascii="Times New Roman" w:eastAsia="Calibri" w:hAnsi="Times New Roman" w:cs="Times New Roman"/>
          <w:sz w:val="24"/>
          <w:szCs w:val="24"/>
        </w:rPr>
        <w:t>I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7E43FA">
        <w:rPr>
          <w:rFonts w:ascii="Times New Roman" w:eastAsia="Calibri" w:hAnsi="Times New Roman" w:cs="Times New Roman"/>
          <w:sz w:val="24"/>
          <w:szCs w:val="24"/>
        </w:rPr>
        <w:t>11 do 15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lutego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</w:t>
      </w:r>
      <w:r w:rsidR="004B06E6">
        <w:rPr>
          <w:rFonts w:ascii="Times New Roman" w:eastAsia="Calibri" w:hAnsi="Times New Roman" w:cs="Times New Roman"/>
          <w:sz w:val="24"/>
          <w:szCs w:val="24"/>
        </w:rPr>
        <w:t>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>
        <w:rPr>
          <w:rFonts w:ascii="Times New Roman" w:eastAsia="Calibri" w:hAnsi="Times New Roman" w:cs="Times New Roman"/>
          <w:sz w:val="24"/>
          <w:szCs w:val="24"/>
        </w:rPr>
        <w:t>jest k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ryminalistyka</w:t>
      </w:r>
      <w:r w:rsidR="00FA57EF"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7E43FA" w:rsidRPr="007E43FA" w:rsidRDefault="00E70FD1" w:rsidP="007E43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>agadnienia techniki kryminalistycznej</w:t>
      </w:r>
      <w:r w:rsidR="00226E59" w:rsidRPr="007E43FA">
        <w:rPr>
          <w:rFonts w:ascii="Times New Roman" w:eastAsia="Calibri" w:hAnsi="Times New Roman" w:cs="Times New Roman"/>
          <w:sz w:val="24"/>
          <w:szCs w:val="24"/>
        </w:rPr>
        <w:t>:</w:t>
      </w:r>
      <w:r w:rsidR="007E43FA" w:rsidRPr="007E43FA">
        <w:rPr>
          <w:rFonts w:ascii="Times New Roman" w:eastAsia="Calibri" w:hAnsi="Times New Roman" w:cs="Times New Roman"/>
          <w:sz w:val="24"/>
          <w:szCs w:val="24"/>
        </w:rPr>
        <w:t xml:space="preserve"> identyfikacja kryminalistyczna;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3FA" w:rsidRPr="007E43FA">
        <w:rPr>
          <w:rFonts w:ascii="Times New Roman" w:eastAsia="Calibri" w:hAnsi="Times New Roman" w:cs="Times New Roman"/>
          <w:sz w:val="24"/>
          <w:szCs w:val="24"/>
        </w:rPr>
        <w:t>ślady, ich systematyka i badania; kl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>asyczne ekspertyzy</w:t>
      </w:r>
      <w:r w:rsidR="007E43FA" w:rsidRPr="007E43FA">
        <w:rPr>
          <w:rFonts w:ascii="Times New Roman" w:eastAsia="Calibri" w:hAnsi="Times New Roman" w:cs="Times New Roman"/>
          <w:sz w:val="24"/>
          <w:szCs w:val="24"/>
        </w:rPr>
        <w:t xml:space="preserve"> kryminalistyczne;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3FA" w:rsidRPr="007E43FA">
        <w:rPr>
          <w:rFonts w:ascii="Times New Roman" w:eastAsia="Calibri" w:hAnsi="Times New Roman" w:cs="Times New Roman"/>
          <w:sz w:val="24"/>
          <w:szCs w:val="24"/>
        </w:rPr>
        <w:t>d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>aktylos</w:t>
      </w:r>
      <w:r w:rsidR="007E43FA">
        <w:rPr>
          <w:rFonts w:ascii="Times New Roman" w:eastAsia="Calibri" w:hAnsi="Times New Roman" w:cs="Times New Roman"/>
          <w:sz w:val="24"/>
          <w:szCs w:val="24"/>
        </w:rPr>
        <w:t>kopia, traseologia, grafoskopia; f</w:t>
      </w:r>
      <w:r w:rsidR="007E43FA" w:rsidRPr="00814B7D">
        <w:rPr>
          <w:rFonts w:ascii="Times New Roman" w:eastAsia="Calibri" w:hAnsi="Times New Roman" w:cs="Times New Roman"/>
          <w:sz w:val="24"/>
          <w:szCs w:val="24"/>
        </w:rPr>
        <w:t>ormułowanie pytań do biegłych różnych specjalności, merytoryczna ocena opinii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4B7D" w:rsidRDefault="00E70FD1" w:rsidP="007E43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>echanoskopia, fonoskopia, osmologia, wariografia krymin</w:t>
      </w:r>
      <w:r w:rsidR="007E43FA">
        <w:rPr>
          <w:rFonts w:ascii="Times New Roman" w:eastAsia="Calibri" w:hAnsi="Times New Roman" w:cs="Times New Roman"/>
          <w:sz w:val="24"/>
          <w:szCs w:val="24"/>
        </w:rPr>
        <w:t>alistyczna; f</w:t>
      </w:r>
      <w:r w:rsidR="007E43FA" w:rsidRPr="007E43FA">
        <w:rPr>
          <w:rFonts w:ascii="Times New Roman" w:eastAsia="Calibri" w:hAnsi="Times New Roman" w:cs="Times New Roman"/>
          <w:sz w:val="24"/>
          <w:szCs w:val="24"/>
        </w:rPr>
        <w:t>ormułowanie pytań do biegłych różnych specjalności, merytoryczna ocena opinii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43FA" w:rsidRDefault="00E70FD1" w:rsidP="00814B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E43FA" w:rsidRPr="007E43FA">
        <w:rPr>
          <w:rFonts w:ascii="Times New Roman" w:eastAsia="Calibri" w:hAnsi="Times New Roman" w:cs="Times New Roman"/>
          <w:sz w:val="24"/>
          <w:szCs w:val="24"/>
        </w:rPr>
        <w:t>ględziny miejsca i rzeczy (cd. tematy</w:t>
      </w:r>
      <w:r w:rsidR="007E43FA">
        <w:rPr>
          <w:rFonts w:ascii="Times New Roman" w:eastAsia="Calibri" w:hAnsi="Times New Roman" w:cs="Times New Roman"/>
          <w:sz w:val="24"/>
          <w:szCs w:val="24"/>
        </w:rPr>
        <w:t>ki poruszanej na zjeździe VIII)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4B7D" w:rsidRPr="007E43FA" w:rsidRDefault="00E70FD1" w:rsidP="00814B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>etodyka postępowania dowodowego w sprawach karnych (oględziny miejsca zdarzenia</w:t>
      </w:r>
      <w:r w:rsidR="00F75086" w:rsidRPr="007E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EAD" w:rsidRPr="007E43F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>zabezpieczenie śladów kryminalistycznych), w tym czynności własne prokuratora. Zajęcia</w:t>
      </w:r>
      <w:r w:rsidR="00CB543D" w:rsidRPr="007E43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4B7D" w:rsidRPr="007E43FA">
        <w:rPr>
          <w:rFonts w:ascii="Times New Roman" w:eastAsia="Calibri" w:hAnsi="Times New Roman" w:cs="Times New Roman"/>
          <w:sz w:val="24"/>
          <w:szCs w:val="24"/>
        </w:rPr>
        <w:t xml:space="preserve">prowadzone na terenie Szkoły Policji. </w:t>
      </w:r>
    </w:p>
    <w:p w:rsidR="00814B7D" w:rsidRPr="00814B7D" w:rsidRDefault="00814B7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6F" w:rsidRPr="00DE256F" w:rsidRDefault="00DE256F" w:rsidP="00DE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Celem praktyki jest </w:t>
      </w:r>
      <w:r w:rsidR="0050383D">
        <w:rPr>
          <w:rFonts w:ascii="Times New Roman" w:eastAsia="Calibri" w:hAnsi="Times New Roman" w:cs="Times New Roman"/>
          <w:sz w:val="24"/>
          <w:szCs w:val="24"/>
        </w:rPr>
        <w:t>zapoznanie aplikantów z przeprowadzaniem oględzin na miejscu zdarzenia, z oględzinami rzeczy i z dokumentowaniem tych czynności, utrwalanie umiejętności formułowania pytań do biegłych z wybranej dziedziny kryminalistyki, a także poznanie metod i możliwości badawczych poszczególnych pracowni laboratorium kryminalistycznego</w:t>
      </w:r>
      <w:r w:rsidR="00CB543D">
        <w:rPr>
          <w:rFonts w:ascii="Times New Roman" w:eastAsia="Calibri" w:hAnsi="Times New Roman" w:cs="Times New Roman"/>
          <w:sz w:val="24"/>
          <w:szCs w:val="24"/>
        </w:rPr>
        <w:t>.</w:t>
      </w:r>
      <w:r w:rsidR="00687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5C4" w:rsidRDefault="005155C4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43D" w:rsidRDefault="005155C4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5C4">
        <w:rPr>
          <w:rFonts w:ascii="Times New Roman" w:eastAsia="Calibri" w:hAnsi="Times New Roman" w:cs="Times New Roman"/>
          <w:sz w:val="24"/>
          <w:szCs w:val="24"/>
        </w:rPr>
        <w:lastRenderedPageBreak/>
        <w:t>Patroni praktyk powinni zadbać, aby aplikanci w czasie praktyk mieli możliwość zapoznania się z praktyczną stroną pracy prokuratora</w:t>
      </w:r>
      <w:r w:rsidR="00702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w zakresie objętym tematyką </w:t>
      </w:r>
      <w:r w:rsidR="001D1A57">
        <w:rPr>
          <w:rFonts w:ascii="Times New Roman" w:eastAsia="Calibri" w:hAnsi="Times New Roman" w:cs="Times New Roman"/>
          <w:sz w:val="24"/>
          <w:szCs w:val="24"/>
        </w:rPr>
        <w:t>zjazdu</w:t>
      </w:r>
      <w:r w:rsidR="00952113">
        <w:rPr>
          <w:rFonts w:ascii="Times New Roman" w:eastAsia="Calibri" w:hAnsi="Times New Roman" w:cs="Times New Roman"/>
          <w:sz w:val="24"/>
          <w:szCs w:val="24"/>
        </w:rPr>
        <w:t>,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C2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52113">
        <w:rPr>
          <w:rFonts w:ascii="Times New Roman" w:eastAsia="Calibri" w:hAnsi="Times New Roman" w:cs="Times New Roman"/>
          <w:sz w:val="24"/>
          <w:szCs w:val="24"/>
        </w:rPr>
        <w:t>tym</w:t>
      </w:r>
      <w:r w:rsidR="00CB54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43D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 zasadami przeprowadzania oględzin</w:t>
      </w:r>
      <w:r w:rsidR="00927E72">
        <w:rPr>
          <w:rFonts w:ascii="Times New Roman" w:eastAsia="Calibri" w:hAnsi="Times New Roman" w:cs="Times New Roman"/>
          <w:sz w:val="24"/>
          <w:szCs w:val="24"/>
        </w:rPr>
        <w:t xml:space="preserve"> i sporządzania dokumentacji związanej </w:t>
      </w:r>
      <w:r w:rsidR="00927E72">
        <w:rPr>
          <w:rFonts w:ascii="Times New Roman" w:eastAsia="Calibri" w:hAnsi="Times New Roman" w:cs="Times New Roman"/>
          <w:sz w:val="24"/>
          <w:szCs w:val="24"/>
        </w:rPr>
        <w:br/>
        <w:t>z oględzinami, w tym głównie protokołu oględzin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E72">
        <w:rPr>
          <w:rFonts w:ascii="Times New Roman" w:eastAsia="Calibri" w:hAnsi="Times New Roman" w:cs="Times New Roman"/>
          <w:sz w:val="24"/>
          <w:szCs w:val="24"/>
        </w:rPr>
        <w:t>w szczególności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poprzez udział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B543D">
        <w:rPr>
          <w:rFonts w:ascii="Times New Roman" w:eastAsia="Calibri" w:hAnsi="Times New Roman" w:cs="Times New Roman"/>
          <w:sz w:val="24"/>
          <w:szCs w:val="24"/>
        </w:rPr>
        <w:t>w oględzinach miejsc, rzeczy i osób, w tym w miarę możliwości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 oględzinach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miejsca wypadku drogowego, pożaru lub katastrofy – </w:t>
      </w:r>
      <w:r w:rsidR="00793115" w:rsidRPr="00793115">
        <w:rPr>
          <w:rFonts w:ascii="Times New Roman" w:eastAsia="Calibri" w:hAnsi="Times New Roman" w:cs="Times New Roman"/>
          <w:sz w:val="24"/>
          <w:szCs w:val="24"/>
          <w:u w:val="single"/>
        </w:rPr>
        <w:t>także w ramach dyżuru całodobowego</w:t>
      </w:r>
      <w:r w:rsidR="007931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115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 materiałami w postaci zd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jęć, szkiców lub zapisów wideo 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wykonanych podczas oględzin znajdujących się w aktach spraw oraz z techniką dokumentowania </w:t>
      </w:r>
      <w:r w:rsidR="00B96AF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w protokole zastanych miejsc, osób, rzeczy, z umiejscowieniem i oznaczaniem śladów kryminalistycznych, ich nośników oraz rzeczy mogących mieć związek </w:t>
      </w:r>
      <w:r w:rsidR="00B96AF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3115">
        <w:rPr>
          <w:rFonts w:ascii="Times New Roman" w:eastAsia="Calibri" w:hAnsi="Times New Roman" w:cs="Times New Roman"/>
          <w:sz w:val="24"/>
          <w:szCs w:val="24"/>
        </w:rPr>
        <w:t>z przestępstwem;</w:t>
      </w:r>
    </w:p>
    <w:p w:rsidR="008A1279" w:rsidRDefault="00B96AF5" w:rsidP="008A12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 zasadami zabezpieczenia śladów kryminalistycznych, ich nośników oraz rzeczy mogących mieć związek z przestępstwem.</w:t>
      </w:r>
    </w:p>
    <w:p w:rsidR="008A1279" w:rsidRPr="008A1279" w:rsidRDefault="008A1279" w:rsidP="008A1279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13B" w:rsidRPr="0050383D" w:rsidRDefault="00793115" w:rsidP="005038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279">
        <w:rPr>
          <w:rFonts w:ascii="Times New Roman" w:eastAsia="Calibri" w:hAnsi="Times New Roman" w:cs="Times New Roman"/>
          <w:sz w:val="24"/>
          <w:szCs w:val="24"/>
        </w:rPr>
        <w:t>Aplikanci powinni także mieć możliwość utrwalenia umiejętności w zakresie formułowania pytań do biegłych oraz oceny prawidłowości pozyskanych opinii wydanych przez biegłych różnych specjalności. Istotn</w:t>
      </w:r>
      <w:r w:rsidR="0050383D">
        <w:rPr>
          <w:rFonts w:ascii="Times New Roman" w:eastAsia="Calibri" w:hAnsi="Times New Roman" w:cs="Times New Roman"/>
          <w:sz w:val="24"/>
          <w:szCs w:val="24"/>
        </w:rPr>
        <w:t>ym jest, aby aplikanci zapozna</w:t>
      </w:r>
      <w:r w:rsidRPr="008A1279">
        <w:rPr>
          <w:rFonts w:ascii="Times New Roman" w:eastAsia="Calibri" w:hAnsi="Times New Roman" w:cs="Times New Roman"/>
          <w:sz w:val="24"/>
          <w:szCs w:val="24"/>
        </w:rPr>
        <w:t>li się z powyższą problematyką w oparciu o analizę akt spraw. W miarę możliwości proszę także o podjęcie starań uzyskania w ramach poszczególnych jednostek organizacyjnych prokuratury (również z archiwum)</w:t>
      </w:r>
      <w:r w:rsidR="00824091" w:rsidRPr="008A1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279">
        <w:rPr>
          <w:rFonts w:ascii="Times New Roman" w:eastAsia="Calibri" w:hAnsi="Times New Roman" w:cs="Times New Roman"/>
          <w:sz w:val="24"/>
          <w:szCs w:val="24"/>
        </w:rPr>
        <w:t>rzadko spotykanych w praktyce ekspertyz fonoskopii, osmologii i wariografii.</w:t>
      </w:r>
    </w:p>
    <w:p w:rsidR="00927E72" w:rsidRDefault="00FC313B" w:rsidP="005038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B5">
        <w:rPr>
          <w:rFonts w:ascii="Times New Roman" w:eastAsia="Calibri" w:hAnsi="Times New Roman" w:cs="Times New Roman"/>
          <w:sz w:val="24"/>
          <w:szCs w:val="24"/>
        </w:rPr>
        <w:t>W trakcie szkolenia należy w szczególności zwracać uwagę aplikantom na praktyczne problemy związane</w:t>
      </w:r>
      <w:r w:rsidR="00927E72">
        <w:rPr>
          <w:rFonts w:ascii="Times New Roman" w:eastAsia="Calibri" w:hAnsi="Times New Roman" w:cs="Times New Roman"/>
          <w:sz w:val="24"/>
          <w:szCs w:val="24"/>
        </w:rPr>
        <w:t xml:space="preserve"> ze sporządzaniem protokołów oględzin</w:t>
      </w:r>
      <w:r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E72">
        <w:rPr>
          <w:rFonts w:ascii="Times New Roman" w:eastAsia="Calibri" w:hAnsi="Times New Roman" w:cs="Times New Roman"/>
          <w:sz w:val="24"/>
          <w:szCs w:val="24"/>
        </w:rPr>
        <w:t>miejsc zdarzenia, rzeczy lub osób. Aplikanci powinni nabyć umiejętność prawidłowego sporządzania protokołu oględzin miejsca zdarzenia, rzeczy lub osoby oraz wykorzystywać umiejętność prawidłowej interpretacji szkicu miejsca zdarzenia i danych zawartych w notatkach pooględzinowych.</w:t>
      </w:r>
    </w:p>
    <w:p w:rsidR="00CB543D" w:rsidRPr="008545B5" w:rsidRDefault="00927E72" w:rsidP="0082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Ważnym jest także uzyskanie praktycznej wiedzy związanej z opiniowaniem </w:t>
      </w:r>
      <w:r>
        <w:rPr>
          <w:rFonts w:ascii="Times New Roman" w:eastAsia="Calibri" w:hAnsi="Times New Roman" w:cs="Times New Roman"/>
          <w:sz w:val="24"/>
          <w:szCs w:val="24"/>
        </w:rPr>
        <w:br/>
        <w:t>w sprawach karnych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>, w aspekcie prawidłowości sporządzania postanowień o powołaniu biegłych,</w:t>
      </w:r>
      <w:r w:rsidR="00A86044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>oceny</w:t>
      </w:r>
      <w:r w:rsidR="00824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>i dowodowego wykorzystania opinii</w:t>
      </w:r>
      <w:r w:rsidR="0032252A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>(w</w:t>
      </w:r>
      <w:r w:rsidR="0032252A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>tym opinii: kompleksowych, alternatywnych, abstrakcyjnych).</w:t>
      </w:r>
      <w:r w:rsidR="00A86044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="00952113">
        <w:rPr>
          <w:rFonts w:ascii="Times New Roman" w:eastAsia="Calibri" w:hAnsi="Times New Roman" w:cs="Times New Roman"/>
          <w:sz w:val="24"/>
          <w:szCs w:val="24"/>
        </w:rPr>
        <w:t>po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 xml:space="preserve">winni </w:t>
      </w:r>
      <w:r w:rsidR="0050383D">
        <w:rPr>
          <w:rFonts w:ascii="Times New Roman" w:eastAsia="Calibri" w:hAnsi="Times New Roman" w:cs="Times New Roman"/>
          <w:sz w:val="24"/>
          <w:szCs w:val="24"/>
        </w:rPr>
        <w:t>nabyć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 xml:space="preserve"> umiejętność dostrzegania błędów w </w:t>
      </w:r>
      <w:r w:rsidR="0032252A" w:rsidRPr="008545B5">
        <w:rPr>
          <w:rFonts w:ascii="Times New Roman" w:eastAsia="Calibri" w:hAnsi="Times New Roman" w:cs="Times New Roman"/>
          <w:sz w:val="24"/>
          <w:szCs w:val="24"/>
        </w:rPr>
        <w:t>opiniach</w:t>
      </w:r>
      <w:r w:rsidR="00FC313B" w:rsidRPr="008545B5">
        <w:rPr>
          <w:rFonts w:ascii="Times New Roman" w:eastAsia="Calibri" w:hAnsi="Times New Roman" w:cs="Times New Roman"/>
          <w:sz w:val="24"/>
          <w:szCs w:val="24"/>
        </w:rPr>
        <w:t xml:space="preserve">, ich niepełności, niekompletności, niespójności oraz sprzeczności. </w:t>
      </w:r>
    </w:p>
    <w:p w:rsidR="00AF32A0" w:rsidRPr="005155C4" w:rsidRDefault="00AF32A0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</w:t>
      </w:r>
      <w:r w:rsidR="006C22E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FA4AAD">
        <w:rPr>
          <w:rFonts w:ascii="Times New Roman" w:eastAsia="Calibri" w:hAnsi="Times New Roman" w:cs="Times New Roman"/>
          <w:sz w:val="24"/>
          <w:szCs w:val="24"/>
        </w:rPr>
        <w:t>dotychczas jesz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cze się nie zetknęli lub </w:t>
      </w:r>
      <w:r w:rsidRPr="00FA4AAD">
        <w:rPr>
          <w:rFonts w:ascii="Times New Roman" w:eastAsia="Calibri" w:hAnsi="Times New Roman" w:cs="Times New Roman"/>
          <w:sz w:val="24"/>
          <w:szCs w:val="24"/>
        </w:rPr>
        <w:t>w których nie uczestniczyli.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3F2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F2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2F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4B0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  <w:r w:rsidR="00BA0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umiejętności </w:t>
      </w:r>
      <w:r w:rsidR="003F2FB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protokołu oględzin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FD" w:rsidRDefault="00660FFD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 w:rsidR="009521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660FFD" w:rsidRPr="00FA4AAD" w:rsidRDefault="00660FFD" w:rsidP="0050383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22" w:rsidRDefault="00B02722">
      <w:pPr>
        <w:spacing w:after="0" w:line="240" w:lineRule="auto"/>
      </w:pPr>
      <w:r>
        <w:separator/>
      </w:r>
    </w:p>
  </w:endnote>
  <w:endnote w:type="continuationSeparator" w:id="0">
    <w:p w:rsidR="00B02722" w:rsidRDefault="00B0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22" w:rsidRDefault="00B02722">
      <w:pPr>
        <w:spacing w:after="0" w:line="240" w:lineRule="auto"/>
      </w:pPr>
      <w:r>
        <w:separator/>
      </w:r>
    </w:p>
  </w:footnote>
  <w:footnote w:type="continuationSeparator" w:id="0">
    <w:p w:rsidR="00B02722" w:rsidRDefault="00B0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Default="00AD0D2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108C8">
      <w:rPr>
        <w:noProof/>
      </w:rPr>
      <w:t>2</w:t>
    </w:r>
    <w:r>
      <w:fldChar w:fldCharType="end"/>
    </w:r>
  </w:p>
  <w:p w:rsidR="00AD0D24" w:rsidRDefault="00AD0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Pr="00162921" w:rsidRDefault="00AD0D24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AD0D24" w:rsidRDefault="00AD0D24">
    <w:pPr>
      <w:pStyle w:val="Nagwek"/>
    </w:pPr>
  </w:p>
  <w:p w:rsidR="00AD0D24" w:rsidRDefault="00AD0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8D00960"/>
    <w:multiLevelType w:val="hybridMultilevel"/>
    <w:tmpl w:val="6FB6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87100"/>
    <w:rsid w:val="000B1D32"/>
    <w:rsid w:val="000B1D88"/>
    <w:rsid w:val="000B4076"/>
    <w:rsid w:val="000D0A1F"/>
    <w:rsid w:val="00102347"/>
    <w:rsid w:val="00111B0F"/>
    <w:rsid w:val="001D09AB"/>
    <w:rsid w:val="001D1A57"/>
    <w:rsid w:val="002135D5"/>
    <w:rsid w:val="00226E59"/>
    <w:rsid w:val="002441CF"/>
    <w:rsid w:val="00270932"/>
    <w:rsid w:val="00276E4C"/>
    <w:rsid w:val="00280C11"/>
    <w:rsid w:val="0029196C"/>
    <w:rsid w:val="002960B4"/>
    <w:rsid w:val="00297974"/>
    <w:rsid w:val="002B462C"/>
    <w:rsid w:val="00305A26"/>
    <w:rsid w:val="0031196E"/>
    <w:rsid w:val="0032252A"/>
    <w:rsid w:val="00323E7C"/>
    <w:rsid w:val="00330EE2"/>
    <w:rsid w:val="003451DD"/>
    <w:rsid w:val="00371E39"/>
    <w:rsid w:val="00383BEA"/>
    <w:rsid w:val="00392456"/>
    <w:rsid w:val="003B5E95"/>
    <w:rsid w:val="003F2FB3"/>
    <w:rsid w:val="004011E8"/>
    <w:rsid w:val="00425330"/>
    <w:rsid w:val="00432079"/>
    <w:rsid w:val="00462A66"/>
    <w:rsid w:val="00496E5E"/>
    <w:rsid w:val="004A33F9"/>
    <w:rsid w:val="004B06E6"/>
    <w:rsid w:val="004D1D3C"/>
    <w:rsid w:val="004D7A28"/>
    <w:rsid w:val="004E5462"/>
    <w:rsid w:val="0050383D"/>
    <w:rsid w:val="00506E46"/>
    <w:rsid w:val="005155C4"/>
    <w:rsid w:val="005307D9"/>
    <w:rsid w:val="00577B26"/>
    <w:rsid w:val="00581AEC"/>
    <w:rsid w:val="005837B7"/>
    <w:rsid w:val="005A3E2F"/>
    <w:rsid w:val="005B78C8"/>
    <w:rsid w:val="005D0C5A"/>
    <w:rsid w:val="005F5C80"/>
    <w:rsid w:val="0061171D"/>
    <w:rsid w:val="00624ED6"/>
    <w:rsid w:val="0065031F"/>
    <w:rsid w:val="00651363"/>
    <w:rsid w:val="00655C39"/>
    <w:rsid w:val="00660FFD"/>
    <w:rsid w:val="006718DA"/>
    <w:rsid w:val="00687172"/>
    <w:rsid w:val="0069156C"/>
    <w:rsid w:val="006A504F"/>
    <w:rsid w:val="006B3863"/>
    <w:rsid w:val="006C22EE"/>
    <w:rsid w:val="006E2CBA"/>
    <w:rsid w:val="007026B5"/>
    <w:rsid w:val="00703144"/>
    <w:rsid w:val="007108C8"/>
    <w:rsid w:val="00725037"/>
    <w:rsid w:val="00735F0A"/>
    <w:rsid w:val="007576E7"/>
    <w:rsid w:val="007817C5"/>
    <w:rsid w:val="00793115"/>
    <w:rsid w:val="00797033"/>
    <w:rsid w:val="007E43FA"/>
    <w:rsid w:val="007F3B02"/>
    <w:rsid w:val="00814B7D"/>
    <w:rsid w:val="00824091"/>
    <w:rsid w:val="008545B5"/>
    <w:rsid w:val="00861382"/>
    <w:rsid w:val="008665FC"/>
    <w:rsid w:val="008724D4"/>
    <w:rsid w:val="00897131"/>
    <w:rsid w:val="008A1279"/>
    <w:rsid w:val="008A7FC4"/>
    <w:rsid w:val="00927E72"/>
    <w:rsid w:val="00952113"/>
    <w:rsid w:val="00985EB3"/>
    <w:rsid w:val="00997F60"/>
    <w:rsid w:val="009A1EAD"/>
    <w:rsid w:val="00A044E7"/>
    <w:rsid w:val="00A06988"/>
    <w:rsid w:val="00A34C42"/>
    <w:rsid w:val="00A712CA"/>
    <w:rsid w:val="00A86044"/>
    <w:rsid w:val="00A96158"/>
    <w:rsid w:val="00AB3419"/>
    <w:rsid w:val="00AB6677"/>
    <w:rsid w:val="00AD0D24"/>
    <w:rsid w:val="00AE6E2C"/>
    <w:rsid w:val="00AF32A0"/>
    <w:rsid w:val="00AF40F4"/>
    <w:rsid w:val="00B02722"/>
    <w:rsid w:val="00B114CD"/>
    <w:rsid w:val="00B53A8C"/>
    <w:rsid w:val="00B849C1"/>
    <w:rsid w:val="00B957F0"/>
    <w:rsid w:val="00B96AF5"/>
    <w:rsid w:val="00BA0B1F"/>
    <w:rsid w:val="00BA3AB1"/>
    <w:rsid w:val="00BE70E3"/>
    <w:rsid w:val="00BE7D39"/>
    <w:rsid w:val="00CB543D"/>
    <w:rsid w:val="00D03B3A"/>
    <w:rsid w:val="00D15070"/>
    <w:rsid w:val="00D21A01"/>
    <w:rsid w:val="00D33685"/>
    <w:rsid w:val="00D5720A"/>
    <w:rsid w:val="00D8021C"/>
    <w:rsid w:val="00D83F9F"/>
    <w:rsid w:val="00D85FEB"/>
    <w:rsid w:val="00D862B5"/>
    <w:rsid w:val="00DC3CDB"/>
    <w:rsid w:val="00DC4748"/>
    <w:rsid w:val="00DD6123"/>
    <w:rsid w:val="00DD7D15"/>
    <w:rsid w:val="00DE256F"/>
    <w:rsid w:val="00DE7A5F"/>
    <w:rsid w:val="00E12551"/>
    <w:rsid w:val="00E371D9"/>
    <w:rsid w:val="00E70FD1"/>
    <w:rsid w:val="00E74B2E"/>
    <w:rsid w:val="00EC497A"/>
    <w:rsid w:val="00EE3FA0"/>
    <w:rsid w:val="00F00354"/>
    <w:rsid w:val="00F15C24"/>
    <w:rsid w:val="00F374BE"/>
    <w:rsid w:val="00F37C2B"/>
    <w:rsid w:val="00F50F49"/>
    <w:rsid w:val="00F75086"/>
    <w:rsid w:val="00F825E9"/>
    <w:rsid w:val="00F970D3"/>
    <w:rsid w:val="00FA3E0E"/>
    <w:rsid w:val="00FA4FDF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4698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2018-11-22T10:58:00Z</cp:lastPrinted>
  <dcterms:created xsi:type="dcterms:W3CDTF">2019-01-10T11:33:00Z</dcterms:created>
  <dcterms:modified xsi:type="dcterms:W3CDTF">2019-01-10T11:33:00Z</dcterms:modified>
</cp:coreProperties>
</file>