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D7258" w:rsidP="000A78A4">
      <w:pPr>
        <w:tabs>
          <w:tab w:val="left" w:pos="0"/>
        </w:tabs>
        <w:spacing w:before="60" w:line="276" w:lineRule="auto"/>
        <w:jc w:val="both"/>
        <w:rPr>
          <w:rFonts w:ascii="Bookman Old Style" w:hAnsi="Bookman Old Style"/>
        </w:rPr>
      </w:pPr>
      <w:r>
        <w:rPr>
          <w:rFonts w:ascii="Bookman Old Style" w:hAnsi="Bookman Old Style"/>
        </w:rPr>
        <w:t>OSU-III-401-98</w:t>
      </w:r>
      <w:r w:rsidR="000A78A4" w:rsidRPr="009406B1">
        <w:rPr>
          <w:rFonts w:ascii="Bookman Old Style" w:hAnsi="Bookman Old Style"/>
        </w:rPr>
        <w:t>/201</w:t>
      </w:r>
      <w:r w:rsidR="00F84D1F">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bookmarkStart w:id="0" w:name="_GoBack"/>
      <w:bookmarkEnd w:id="0"/>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F44831">
        <w:rPr>
          <w:rFonts w:ascii="Bookman Old Style" w:hAnsi="Bookman Old Style"/>
        </w:rPr>
        <w:t>3</w:t>
      </w:r>
      <w:r w:rsidR="0028508E">
        <w:rPr>
          <w:rFonts w:ascii="Bookman Old Style" w:hAnsi="Bookman Old Style"/>
        </w:rPr>
        <w:t>/</w:t>
      </w:r>
      <w:r w:rsidR="000D7258">
        <w:rPr>
          <w:rFonts w:ascii="Bookman Old Style" w:hAnsi="Bookman Old Style"/>
        </w:rPr>
        <w:t>G</w:t>
      </w:r>
      <w:r w:rsidR="00F44831">
        <w:rPr>
          <w:rFonts w:ascii="Bookman Old Style" w:hAnsi="Bookman Old Style"/>
        </w:rPr>
        <w:t>/</w:t>
      </w:r>
      <w:r w:rsidR="0028508E">
        <w:rPr>
          <w:rFonts w:ascii="Bookman Old Style" w:hAnsi="Bookman Old Style"/>
        </w:rPr>
        <w:t>16</w:t>
      </w:r>
    </w:p>
    <w:p w:rsidR="000A78A4" w:rsidRPr="009406B1" w:rsidRDefault="00D239A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ASYSTENTÓW WYKONUJĄCYCH CZYNNOŚC</w:t>
      </w:r>
      <w:r w:rsidR="009943E2">
        <w:rPr>
          <w:rFonts w:ascii="Bookman Old Style" w:hAnsi="Bookman Old Style"/>
        </w:rPr>
        <w:t>I W TYCH WYDZIAŁACH, PROKURATORÓ</w:t>
      </w:r>
      <w:r w:rsidRPr="0028508E">
        <w:rPr>
          <w:rFonts w:ascii="Bookman Old Style" w:hAnsi="Bookman Old Style"/>
        </w:rPr>
        <w:t xml:space="preserve">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D239A9">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239A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239A9"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9943E2" w:rsidRDefault="0028508E" w:rsidP="00F44831">
      <w:pPr>
        <w:spacing w:line="276" w:lineRule="auto"/>
        <w:jc w:val="center"/>
        <w:rPr>
          <w:rFonts w:ascii="Bookman Old Style" w:hAnsi="Bookman Old Style"/>
          <w:b/>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p>
    <w:p w:rsidR="009943E2" w:rsidRDefault="009943E2" w:rsidP="00F44831">
      <w:pPr>
        <w:spacing w:line="276" w:lineRule="auto"/>
        <w:jc w:val="center"/>
        <w:rPr>
          <w:rFonts w:ascii="Bookman Old Style" w:hAnsi="Bookman Old Style"/>
          <w:b/>
        </w:rPr>
      </w:pPr>
    </w:p>
    <w:p w:rsidR="000A78A4" w:rsidRPr="009406B1" w:rsidRDefault="00D239A9" w:rsidP="00F44831">
      <w:pPr>
        <w:spacing w:line="276" w:lineRule="auto"/>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239A9"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D7258" w:rsidRDefault="000D7258" w:rsidP="000D7258">
      <w:pPr>
        <w:spacing w:line="276" w:lineRule="auto"/>
        <w:rPr>
          <w:rFonts w:ascii="Bookman Old Style" w:hAnsi="Bookman Old Style"/>
        </w:rPr>
      </w:pPr>
      <w:r w:rsidRPr="000D7258">
        <w:rPr>
          <w:rFonts w:ascii="Bookman Old Style" w:hAnsi="Bookman Old Style"/>
        </w:rPr>
        <w:t>20 maja</w:t>
      </w:r>
      <w:r>
        <w:rPr>
          <w:rFonts w:ascii="Bookman Old Style" w:hAnsi="Bookman Old Style"/>
          <w:sz w:val="20"/>
          <w:szCs w:val="20"/>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Pr>
          <w:rFonts w:ascii="Bookman Old Style" w:hAnsi="Bookman Old Style"/>
        </w:rPr>
        <w:tab/>
        <w:t>Sąd Okręgowy w Poznaniu</w:t>
      </w:r>
    </w:p>
    <w:p w:rsidR="000D7258" w:rsidRDefault="000D7258" w:rsidP="000D7258">
      <w:pPr>
        <w:spacing w:line="276" w:lineRule="auto"/>
        <w:ind w:left="2832" w:firstLine="708"/>
        <w:rPr>
          <w:rFonts w:ascii="Bookman Old Style" w:hAnsi="Bookman Old Style"/>
        </w:rPr>
      </w:pPr>
      <w:r>
        <w:rPr>
          <w:rFonts w:ascii="Bookman Old Style" w:hAnsi="Bookman Old Style"/>
        </w:rPr>
        <w:tab/>
        <w:t xml:space="preserve">ul. </w:t>
      </w:r>
      <w:proofErr w:type="spellStart"/>
      <w:r>
        <w:rPr>
          <w:rFonts w:ascii="Bookman Old Style" w:hAnsi="Bookman Old Style"/>
        </w:rPr>
        <w:t>Hejmowskiego</w:t>
      </w:r>
      <w:proofErr w:type="spellEnd"/>
      <w:r>
        <w:rPr>
          <w:rFonts w:ascii="Bookman Old Style" w:hAnsi="Bookman Old Style"/>
        </w:rPr>
        <w:t xml:space="preserve"> 2</w:t>
      </w:r>
    </w:p>
    <w:p w:rsidR="000D7258" w:rsidRDefault="000D7258" w:rsidP="000D7258">
      <w:pPr>
        <w:spacing w:line="276" w:lineRule="auto"/>
        <w:ind w:left="2832" w:firstLine="708"/>
        <w:rPr>
          <w:rFonts w:ascii="Bookman Old Style" w:hAnsi="Bookman Old Style"/>
        </w:rPr>
      </w:pPr>
      <w:r>
        <w:rPr>
          <w:rFonts w:ascii="Bookman Old Style" w:hAnsi="Bookman Old Style"/>
        </w:rPr>
        <w:tab/>
        <w:t>61-736 Poznań</w:t>
      </w:r>
    </w:p>
    <w:p w:rsidR="000D7258" w:rsidRPr="007D03E0" w:rsidRDefault="000D7258" w:rsidP="000D7258">
      <w:pPr>
        <w:spacing w:line="276" w:lineRule="auto"/>
        <w:ind w:left="2832" w:firstLine="708"/>
        <w:rPr>
          <w:rFonts w:ascii="Bookman Old Style" w:hAnsi="Bookman Old Style"/>
        </w:rPr>
      </w:pPr>
      <w:r>
        <w:rPr>
          <w:rFonts w:ascii="Bookman Old Style" w:hAnsi="Bookman Old Style"/>
        </w:rPr>
        <w:tab/>
        <w:t>sala konferencyjna 1205</w:t>
      </w:r>
    </w:p>
    <w:p w:rsidR="000A78A4" w:rsidRPr="009406B1" w:rsidRDefault="00D239A9"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239A9"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D239A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239A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9943E2">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341DC2" w:rsidRPr="009943E2" w:rsidRDefault="000A78A4" w:rsidP="009943E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organizacyjnie:</w:t>
      </w:r>
    </w:p>
    <w:p w:rsidR="000A78A4" w:rsidRPr="00B71092" w:rsidRDefault="000D725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D7258" w:rsidP="00B71092">
      <w:pPr>
        <w:spacing w:line="276" w:lineRule="auto"/>
        <w:ind w:left="284"/>
        <w:rPr>
          <w:rFonts w:ascii="Bookman Old Style" w:hAnsi="Bookman Old Style"/>
          <w:sz w:val="22"/>
          <w:szCs w:val="22"/>
        </w:rPr>
      </w:pPr>
      <w:r>
        <w:rPr>
          <w:rFonts w:ascii="Bookman Old Style" w:hAnsi="Bookman Old Style"/>
          <w:sz w:val="22"/>
          <w:szCs w:val="22"/>
        </w:rPr>
        <w:t>tel. 81 458 37 42</w:t>
      </w:r>
    </w:p>
    <w:p w:rsidR="009943E2" w:rsidRDefault="000A78A4" w:rsidP="000D7258">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9943E2" w:rsidRPr="00EE1964">
          <w:rPr>
            <w:rStyle w:val="Hipercze"/>
            <w:rFonts w:ascii="Bookman Old Style" w:hAnsi="Bookman Old Style"/>
            <w:sz w:val="22"/>
            <w:szCs w:val="22"/>
            <w:lang w:val="it-IT"/>
          </w:rPr>
          <w:t>k.krupa@kssip.gov.pl</w:t>
        </w:r>
      </w:hyperlink>
    </w:p>
    <w:p w:rsidR="000D7258" w:rsidRPr="000D7258" w:rsidRDefault="000D7258" w:rsidP="000D7258">
      <w:pPr>
        <w:spacing w:line="360" w:lineRule="auto"/>
        <w:ind w:left="284"/>
        <w:rPr>
          <w:rFonts w:ascii="Bookman Old Style" w:hAnsi="Bookman Old Style"/>
          <w:sz w:val="22"/>
          <w:szCs w:val="22"/>
          <w:u w:val="single"/>
          <w:lang w:val="pt-BR"/>
        </w:rPr>
        <w:sectPr w:rsidR="000D7258" w:rsidRPr="000D7258" w:rsidSect="00B71092">
          <w:type w:val="continuous"/>
          <w:pgSz w:w="11906" w:h="16838"/>
          <w:pgMar w:top="822" w:right="1416" w:bottom="426" w:left="1417" w:header="0" w:footer="708" w:gutter="0"/>
          <w:cols w:num="2" w:space="708"/>
          <w:docGrid w:linePitch="360"/>
        </w:sectPr>
      </w:pPr>
    </w:p>
    <w:p w:rsidR="000A78A4" w:rsidRDefault="00D239A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239A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0A78A4" w:rsidRPr="000D7258" w:rsidRDefault="00C73698" w:rsidP="000D7258">
      <w:pPr>
        <w:shd w:val="clear" w:color="auto" w:fill="FEFEFE"/>
        <w:spacing w:after="135" w:line="360" w:lineRule="auto"/>
        <w:jc w:val="both"/>
        <w:rPr>
          <w:rFonts w:ascii="Bookman Old Style" w:eastAsiaTheme="minorHAnsi" w:hAnsi="Bookman Old Style" w:cs="Arial"/>
          <w:color w:val="333333"/>
        </w:rPr>
      </w:pPr>
      <w:r>
        <w:rPr>
          <w:rFonts w:ascii="Bookman Old Style" w:eastAsiaTheme="minorHAnsi" w:hAnsi="Bookman Old Style"/>
          <w:b/>
          <w:bCs/>
        </w:rPr>
        <w:t>Krzysztof Górski</w:t>
      </w:r>
      <w:r w:rsidR="00833F65" w:rsidRPr="00A34701">
        <w:rPr>
          <w:rFonts w:ascii="Bookman Old Style" w:eastAsiaTheme="minorHAnsi" w:hAnsi="Bookman Old Style"/>
          <w:b/>
          <w:bCs/>
        </w:rPr>
        <w:t xml:space="preserve"> - </w:t>
      </w:r>
      <w:r w:rsidR="003B0C01">
        <w:rPr>
          <w:rFonts w:ascii="Bookman Old Style" w:eastAsia="Calibri" w:hAnsi="Bookman Old Style"/>
          <w:lang w:eastAsia="en-US"/>
        </w:rPr>
        <w:t>Sędzia</w:t>
      </w:r>
      <w:r w:rsidR="006431EC" w:rsidRPr="00E55171">
        <w:rPr>
          <w:rFonts w:ascii="Bookman Old Style" w:eastAsia="Calibri" w:hAnsi="Bookman Old Style"/>
          <w:lang w:eastAsia="en-US"/>
        </w:rPr>
        <w:t xml:space="preserve"> Sądu Okręgowego w Szczecinie, w latach </w:t>
      </w:r>
      <w:r w:rsidR="006431EC">
        <w:rPr>
          <w:rFonts w:ascii="Bookman Old Style" w:eastAsia="Calibri" w:hAnsi="Bookman Old Style"/>
          <w:lang w:eastAsia="en-US"/>
        </w:rPr>
        <w:br/>
      </w:r>
      <w:r w:rsidR="006431EC" w:rsidRPr="00E55171">
        <w:rPr>
          <w:rFonts w:ascii="Bookman Old Style" w:eastAsia="Calibri" w:hAnsi="Bookman Old Style"/>
          <w:lang w:eastAsia="en-US"/>
        </w:rPr>
        <w:t xml:space="preserve">2007 – 2009 </w:t>
      </w:r>
      <w:r w:rsidR="006431EC" w:rsidRPr="00E55171">
        <w:rPr>
          <w:rFonts w:ascii="Bookman Old Style" w:hAnsi="Bookman Old Style" w:cs="Calibri"/>
          <w:color w:val="000000"/>
        </w:rPr>
        <w:t xml:space="preserve">wizytator do spraw gospodarczych w Sądzie Okręgowym </w:t>
      </w:r>
      <w:r w:rsidR="000D7258">
        <w:rPr>
          <w:rFonts w:ascii="Bookman Old Style" w:hAnsi="Bookman Old Style" w:cs="Calibri"/>
          <w:color w:val="000000"/>
        </w:rPr>
        <w:br/>
      </w:r>
      <w:r w:rsidR="006431EC" w:rsidRPr="00E55171">
        <w:rPr>
          <w:rFonts w:ascii="Bookman Old Style" w:hAnsi="Bookman Old Style" w:cs="Calibri"/>
          <w:color w:val="000000"/>
        </w:rPr>
        <w:t>w Szczecinie. Doświadczony wykładowca z zakresu procedury cywilnej oraz prawa gospodarczego (cywilnego materialnego i prawa spółek handlowych) podczas szkoleń dla sędziów, radców prawnych oraz aplikantów.</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Pr="000D7258" w:rsidRDefault="00D239A9" w:rsidP="000D7258">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0D7258" w:rsidRPr="000D7258">
        <w:rPr>
          <w:rFonts w:ascii="Bookman Old Style" w:hAnsi="Bookman Old Style"/>
          <w:b/>
        </w:rPr>
        <w:t>Piątek</w:t>
      </w:r>
      <w:r w:rsidR="0028508E" w:rsidRPr="000D7258">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0D7258">
        <w:rPr>
          <w:rFonts w:ascii="Bookman Old Style" w:hAnsi="Bookman Old Style"/>
          <w:b/>
        </w:rPr>
        <w:t>20 maja 2016</w:t>
      </w:r>
      <w:r w:rsidR="000A78A4" w:rsidRPr="002D2B81">
        <w:rPr>
          <w:rFonts w:ascii="Bookman Old Style" w:hAnsi="Bookman Old Style"/>
          <w:b/>
        </w:rPr>
        <w:t xml:space="preserve"> r.</w:t>
      </w:r>
    </w:p>
    <w:p w:rsidR="000A78A4" w:rsidRPr="005A05D1" w:rsidRDefault="00D239A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D7258" w:rsidRDefault="000D7258" w:rsidP="00F44831">
      <w:pPr>
        <w:pStyle w:val="Tekstpodstawowy"/>
        <w:tabs>
          <w:tab w:val="left" w:pos="0"/>
        </w:tabs>
        <w:spacing w:after="60" w:line="276" w:lineRule="auto"/>
        <w:ind w:left="2127" w:hanging="2127"/>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SSO </w:t>
      </w:r>
      <w:r w:rsidR="006431EC">
        <w:rPr>
          <w:rFonts w:ascii="Bookman Old Style" w:hAnsi="Bookman Old Style"/>
        </w:rPr>
        <w:t>Krzysztof Górski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9F6A3C" w:rsidRDefault="009F6A3C"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D239A9"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943E2">
        <w:rPr>
          <w:rFonts w:ascii="Bookman Old Style" w:hAnsi="Bookman Old Style"/>
          <w:sz w:val="20"/>
          <w:szCs w:val="20"/>
        </w:rPr>
        <w:t>23 maja 2016</w:t>
      </w:r>
      <w:r w:rsidRPr="000A78A4">
        <w:rPr>
          <w:rFonts w:ascii="Bookman Old Style" w:hAnsi="Bookman Old Style"/>
          <w:sz w:val="20"/>
          <w:szCs w:val="20"/>
        </w:rPr>
        <w:t xml:space="preserve"> r. do </w:t>
      </w:r>
      <w:r w:rsidR="009943E2">
        <w:rPr>
          <w:rFonts w:ascii="Bookman Old Style" w:hAnsi="Bookman Old Style"/>
          <w:sz w:val="20"/>
          <w:szCs w:val="20"/>
        </w:rPr>
        <w:t>24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C1B72"/>
    <w:rsid w:val="000D7258"/>
    <w:rsid w:val="00192E49"/>
    <w:rsid w:val="001E667A"/>
    <w:rsid w:val="0028508E"/>
    <w:rsid w:val="002B7231"/>
    <w:rsid w:val="00341DC2"/>
    <w:rsid w:val="003663BB"/>
    <w:rsid w:val="0038351D"/>
    <w:rsid w:val="003B0C01"/>
    <w:rsid w:val="003D61AB"/>
    <w:rsid w:val="00440538"/>
    <w:rsid w:val="00447768"/>
    <w:rsid w:val="0049426B"/>
    <w:rsid w:val="004E4749"/>
    <w:rsid w:val="00556117"/>
    <w:rsid w:val="00563F19"/>
    <w:rsid w:val="005A0CC6"/>
    <w:rsid w:val="006431EC"/>
    <w:rsid w:val="00722BD1"/>
    <w:rsid w:val="007A02D8"/>
    <w:rsid w:val="007D03E0"/>
    <w:rsid w:val="00833F65"/>
    <w:rsid w:val="00864626"/>
    <w:rsid w:val="009943E2"/>
    <w:rsid w:val="009F6A3C"/>
    <w:rsid w:val="00A55BBE"/>
    <w:rsid w:val="00A97EA5"/>
    <w:rsid w:val="00B71092"/>
    <w:rsid w:val="00BB39D0"/>
    <w:rsid w:val="00BF04C5"/>
    <w:rsid w:val="00C73698"/>
    <w:rsid w:val="00D239A9"/>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403</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5</cp:revision>
  <cp:lastPrinted>2016-01-12T07:39:00Z</cp:lastPrinted>
  <dcterms:created xsi:type="dcterms:W3CDTF">2016-01-27T11:31:00Z</dcterms:created>
  <dcterms:modified xsi:type="dcterms:W3CDTF">2016-02-08T12:35:00Z</dcterms:modified>
</cp:coreProperties>
</file>