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020FC2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Pr="00020F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E5AD4" w:rsidRPr="00020F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20FC2">
        <w:rPr>
          <w:rFonts w:ascii="Times New Roman" w:hAnsi="Times New Roman" w:cs="Times New Roman"/>
          <w:sz w:val="24"/>
          <w:szCs w:val="24"/>
        </w:rPr>
        <w:t xml:space="preserve"> </w:t>
      </w:r>
      <w:r w:rsidR="007E5AD4" w:rsidRPr="00020F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0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020FC2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727C2B" w:rsidRPr="00020FC2">
        <w:rPr>
          <w:rFonts w:ascii="Times New Roman" w:hAnsi="Times New Roman" w:cs="Times New Roman"/>
          <w:sz w:val="24"/>
          <w:szCs w:val="24"/>
        </w:rPr>
        <w:t xml:space="preserve"> </w:t>
      </w:r>
      <w:r w:rsidR="00D95C61" w:rsidRPr="00020FC2">
        <w:rPr>
          <w:rFonts w:ascii="Times New Roman" w:hAnsi="Times New Roman" w:cs="Times New Roman"/>
          <w:sz w:val="24"/>
          <w:szCs w:val="24"/>
        </w:rPr>
        <w:t xml:space="preserve">8 października </w:t>
      </w:r>
      <w:r w:rsidR="007E5AD4" w:rsidRPr="00020FC2">
        <w:rPr>
          <w:rFonts w:ascii="Times New Roman" w:hAnsi="Times New Roman" w:cs="Times New Roman"/>
          <w:sz w:val="24"/>
          <w:szCs w:val="24"/>
        </w:rPr>
        <w:t xml:space="preserve">2024 </w:t>
      </w:r>
      <w:r w:rsidRPr="00020FC2">
        <w:rPr>
          <w:rFonts w:ascii="Times New Roman" w:hAnsi="Times New Roman" w:cs="Times New Roman"/>
          <w:sz w:val="24"/>
          <w:szCs w:val="24"/>
        </w:rPr>
        <w:t>r</w:t>
      </w:r>
    </w:p>
    <w:p w:rsidR="00944825" w:rsidRPr="00020FC2" w:rsidRDefault="00944825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44825" w:rsidRPr="00020FC2" w:rsidRDefault="00020FC2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OAP-II.420.3.1.2024</w:t>
      </w:r>
    </w:p>
    <w:p w:rsidR="009C39F4" w:rsidRPr="00020FC2" w:rsidRDefault="00020FC2" w:rsidP="00020FC2">
      <w:pPr>
        <w:spacing w:after="12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5AD4" w:rsidRPr="00020FC2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9C39F4" w:rsidRPr="00020FC2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20FC2">
        <w:rPr>
          <w:rFonts w:ascii="Times New Roman" w:hAnsi="Times New Roman" w:cs="Times New Roman"/>
          <w:b/>
          <w:sz w:val="24"/>
          <w:szCs w:val="24"/>
        </w:rPr>
        <w:t>Patroni Koordynatorzy</w:t>
      </w:r>
    </w:p>
    <w:p w:rsidR="009C39F4" w:rsidRPr="00020FC2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20F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oraz Patroni </w:t>
      </w:r>
      <w:r w:rsidR="001C643B" w:rsidRPr="00020FC2">
        <w:rPr>
          <w:rFonts w:ascii="Times New Roman" w:hAnsi="Times New Roman" w:cs="Times New Roman"/>
          <w:b/>
          <w:sz w:val="24"/>
          <w:szCs w:val="24"/>
        </w:rPr>
        <w:t>i Opiekunowie p</w:t>
      </w:r>
      <w:r w:rsidRPr="00020FC2">
        <w:rPr>
          <w:rFonts w:ascii="Times New Roman" w:hAnsi="Times New Roman" w:cs="Times New Roman"/>
          <w:b/>
          <w:sz w:val="24"/>
          <w:szCs w:val="24"/>
        </w:rPr>
        <w:t>raktyk</w:t>
      </w:r>
    </w:p>
    <w:p w:rsidR="009C39F4" w:rsidRPr="00020FC2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20F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aplikantów aplikacji prokuratorskiej</w:t>
      </w:r>
    </w:p>
    <w:p w:rsidR="009C39F4" w:rsidRPr="00020FC2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9C39F4" w:rsidRPr="00020FC2" w:rsidRDefault="007E5AD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0FC2">
        <w:rPr>
          <w:rFonts w:ascii="Times New Roman" w:hAnsi="Times New Roman" w:cs="Times New Roman"/>
          <w:b/>
          <w:i/>
          <w:sz w:val="24"/>
          <w:szCs w:val="24"/>
        </w:rPr>
        <w:t xml:space="preserve">Zalecenia dotyczące </w:t>
      </w:r>
      <w:r w:rsidR="009C39F4" w:rsidRPr="00020FC2">
        <w:rPr>
          <w:rFonts w:ascii="Times New Roman" w:hAnsi="Times New Roman" w:cs="Times New Roman"/>
          <w:b/>
          <w:i/>
          <w:sz w:val="24"/>
          <w:szCs w:val="24"/>
        </w:rPr>
        <w:t xml:space="preserve">  praktyk aplikant</w:t>
      </w:r>
      <w:r w:rsidR="00944825" w:rsidRPr="00020FC2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Pr="00020FC2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93CAF" w:rsidRPr="00020F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9F4" w:rsidRPr="00020FC2">
        <w:rPr>
          <w:rFonts w:ascii="Times New Roman" w:hAnsi="Times New Roman" w:cs="Times New Roman"/>
          <w:b/>
          <w:i/>
          <w:sz w:val="24"/>
          <w:szCs w:val="24"/>
        </w:rPr>
        <w:t>rocznika po</w:t>
      </w:r>
      <w:r w:rsidR="00093CAF" w:rsidRPr="00020F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5C61" w:rsidRPr="00020FC2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9C39F4" w:rsidRPr="00020FC2"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9C39F4" w:rsidRPr="00020FC2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9F4" w:rsidRPr="00020FC2" w:rsidRDefault="009C39F4" w:rsidP="003E14E1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020FC2">
        <w:rPr>
          <w:rFonts w:ascii="Times New Roman" w:hAnsi="Times New Roman" w:cs="Times New Roman"/>
          <w:sz w:val="24"/>
          <w:szCs w:val="24"/>
        </w:rPr>
        <w:t xml:space="preserve">1 ust.2 </w:t>
      </w:r>
      <w:r w:rsidRPr="00020FC2">
        <w:rPr>
          <w:rFonts w:ascii="Times New Roman" w:hAnsi="Times New Roman" w:cs="Times New Roman"/>
          <w:sz w:val="24"/>
          <w:szCs w:val="24"/>
        </w:rPr>
        <w:t xml:space="preserve">zarządzenia Dyrektora Krajowej Szkoły Sądownictwa  </w:t>
      </w:r>
      <w:r w:rsidR="00A84910">
        <w:rPr>
          <w:rFonts w:ascii="Times New Roman" w:hAnsi="Times New Roman" w:cs="Times New Roman"/>
          <w:sz w:val="24"/>
          <w:szCs w:val="24"/>
        </w:rPr>
        <w:br/>
      </w:r>
      <w:r w:rsidRPr="00020FC2">
        <w:rPr>
          <w:rFonts w:ascii="Times New Roman" w:hAnsi="Times New Roman" w:cs="Times New Roman"/>
          <w:sz w:val="24"/>
          <w:szCs w:val="24"/>
        </w:rPr>
        <w:t xml:space="preserve">i Prokuratury w Krakowie Nr </w:t>
      </w:r>
      <w:r w:rsidR="005052C3" w:rsidRPr="00020FC2">
        <w:rPr>
          <w:rFonts w:ascii="Times New Roman" w:hAnsi="Times New Roman" w:cs="Times New Roman"/>
          <w:sz w:val="24"/>
          <w:szCs w:val="24"/>
        </w:rPr>
        <w:t>539</w:t>
      </w:r>
      <w:r w:rsidRPr="00020FC2">
        <w:rPr>
          <w:rFonts w:ascii="Times New Roman" w:hAnsi="Times New Roman" w:cs="Times New Roman"/>
          <w:sz w:val="24"/>
          <w:szCs w:val="24"/>
        </w:rPr>
        <w:t>/20</w:t>
      </w:r>
      <w:r w:rsidR="005052C3" w:rsidRPr="00020FC2">
        <w:rPr>
          <w:rFonts w:ascii="Times New Roman" w:hAnsi="Times New Roman" w:cs="Times New Roman"/>
          <w:sz w:val="24"/>
          <w:szCs w:val="24"/>
        </w:rPr>
        <w:t>21</w:t>
      </w:r>
      <w:r w:rsidRPr="00020FC2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020FC2">
        <w:rPr>
          <w:rFonts w:ascii="Times New Roman" w:hAnsi="Times New Roman" w:cs="Times New Roman"/>
          <w:sz w:val="24"/>
          <w:szCs w:val="24"/>
        </w:rPr>
        <w:t>27 października</w:t>
      </w:r>
      <w:r w:rsidRPr="00020FC2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020FC2">
        <w:rPr>
          <w:rFonts w:ascii="Times New Roman" w:hAnsi="Times New Roman" w:cs="Times New Roman"/>
          <w:sz w:val="24"/>
          <w:szCs w:val="24"/>
        </w:rPr>
        <w:t>21</w:t>
      </w:r>
      <w:r w:rsidRPr="00020FC2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020FC2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020FC2">
        <w:rPr>
          <w:rFonts w:ascii="Times New Roman" w:hAnsi="Times New Roman" w:cs="Times New Roman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D95C61" w:rsidRPr="00020FC2">
        <w:rPr>
          <w:rFonts w:ascii="Times New Roman" w:hAnsi="Times New Roman" w:cs="Times New Roman"/>
          <w:b/>
          <w:sz w:val="24"/>
          <w:szCs w:val="24"/>
        </w:rPr>
        <w:t xml:space="preserve">27 stycznia 2025 roku do 7 lutego 2025 roku wydziałach  karnych sądów rejonowych  oraz </w:t>
      </w:r>
      <w:r w:rsidR="00A84910">
        <w:rPr>
          <w:rFonts w:ascii="Times New Roman" w:hAnsi="Times New Roman" w:cs="Times New Roman"/>
          <w:b/>
          <w:sz w:val="24"/>
          <w:szCs w:val="24"/>
        </w:rPr>
        <w:br/>
      </w:r>
      <w:r w:rsidR="00D95C61" w:rsidRPr="00020FC2">
        <w:rPr>
          <w:rFonts w:ascii="Times New Roman" w:hAnsi="Times New Roman" w:cs="Times New Roman"/>
          <w:b/>
          <w:sz w:val="24"/>
          <w:szCs w:val="24"/>
        </w:rPr>
        <w:t>w okresie od 10 do 21</w:t>
      </w:r>
      <w:r w:rsidR="00A84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C61" w:rsidRPr="00020FC2">
        <w:rPr>
          <w:rFonts w:ascii="Times New Roman" w:hAnsi="Times New Roman" w:cs="Times New Roman"/>
          <w:b/>
          <w:sz w:val="24"/>
          <w:szCs w:val="24"/>
        </w:rPr>
        <w:t>lutego 2025 roku w prokuraturach rejonowych</w:t>
      </w:r>
      <w:r w:rsidR="00A84910">
        <w:rPr>
          <w:rFonts w:ascii="Times New Roman" w:hAnsi="Times New Roman" w:cs="Times New Roman"/>
          <w:b/>
          <w:sz w:val="24"/>
          <w:szCs w:val="24"/>
        </w:rPr>
        <w:t>.</w:t>
      </w:r>
      <w:r w:rsidR="00D95C61" w:rsidRPr="00020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>Celem niniejszej praktyki jest zapoznanie aplikantów z zasadami sądowej kontroli rozstrzygnięć prokuratora kończących postępowanie przygotowawcze oraz utrwalenie umiejętności przygotowywania wystąpienia prokuratora na posiedzeniu sądu w przedmiocie zażalenia na postanowienie prokuratora kończące postępowanie przygotowawcze, a nadto przygotowania wystąpienia prokuratora na posiedzeniu sądu w przedmiocie rozpoznania zażalenia na postanowienie prokuratora kończące postępowanie przygotowawcze</w:t>
      </w: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FC2">
        <w:rPr>
          <w:rFonts w:ascii="Times New Roman" w:hAnsi="Times New Roman" w:cs="Times New Roman"/>
          <w:b/>
          <w:sz w:val="24"/>
          <w:szCs w:val="24"/>
          <w:u w:val="single"/>
        </w:rPr>
        <w:t>Patroni praktyk w wydziałach karnych sądów rejonowych winni zadbać, aby aplikanci:</w:t>
      </w:r>
    </w:p>
    <w:p w:rsidR="00CB6F41" w:rsidRPr="00020FC2" w:rsidRDefault="00CB6F41" w:rsidP="00CB6F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>- wzięli udział w co najmniej w 14 posiedzeniach związanych z rozpatrywaniem zażaleń na postanowienia kończące postępowanie przygotowawcze w różnych kategoriach spraw,</w:t>
      </w:r>
    </w:p>
    <w:p w:rsidR="00CB6F41" w:rsidRPr="00020FC2" w:rsidRDefault="00CB6F41" w:rsidP="00CB6F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>- dokonali analizy co najmniej 30 spraw pod kątem zasadności zażaleń na postanowienia kończące postępowanie przygotowawcze w różnych kategoriach spraw,</w:t>
      </w:r>
    </w:p>
    <w:p w:rsidR="00CB6F41" w:rsidRDefault="00CB6F41" w:rsidP="00CB6F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>- sporządzili co najmniej 15 projektów orzeczeń sądu zapadających w związku z rozpoznaniem zażaleń na postanowienia kończące postępowanie przygotowawcze.</w:t>
      </w:r>
    </w:p>
    <w:p w:rsidR="00020FC2" w:rsidRPr="00020FC2" w:rsidRDefault="00020FC2" w:rsidP="00CB6F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F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Patroni praktyk w prokuraturach rejonowych winni zadbać, aby aplikanci:</w:t>
      </w: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>- dokonali analizy co najmniej 15 spraw pod kątem oceny zasadności złożonego środka odwoławczego od postanowienia kończącego postępowanie przygotowawcze w tym badania warunków formalnych wniesionego środka odwoławczego oraz opracowywania stosownych pism procesowych,</w:t>
      </w: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>- sporządzili co najmniej 10 projektów stanowisk prokuratora w przedmiocie zasadności zażalenia na postanowienie kończące postępowanie przygotowawcze oraz 6 projektów postanowień o uwzględnieniu zażalenia wraz z uzasadnieniem,</w:t>
      </w: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>- wzięli udział w co najmniej 5 udział posiedzeniach sądu w przedmiocie rozpoznania zażalenia na postanowienie prokuratora kończące postępowanie przygotowawcze,</w:t>
      </w: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>- sporządzenia co najmniej 5 postanowień o zasięgnięciu opinii biegłego/biegłych z zakresu toksykologii, alkohologii i hematologii,</w:t>
      </w: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>- zapoznali się, o ile to możliwe,  z aktami co najmniej 2 spraw, w których w materiale dowodowym występują materiały niejawne oraz sporządzili projekt postanowienia                                  o zachowaniu w tajemnicy okoliczności umożliwiających ujawnienie tożsamości świadka (pokrzywdzonego).</w:t>
      </w:r>
    </w:p>
    <w:p w:rsidR="00CB6F41" w:rsidRPr="00020FC2" w:rsidRDefault="00CB6F41" w:rsidP="00CB6F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FC2">
        <w:rPr>
          <w:rFonts w:ascii="Times New Roman" w:hAnsi="Times New Roman" w:cs="Times New Roman"/>
          <w:b/>
          <w:sz w:val="24"/>
          <w:szCs w:val="24"/>
        </w:rPr>
        <w:t>Praktyka powinna przygotować do sprawdzianu.</w:t>
      </w:r>
    </w:p>
    <w:p w:rsidR="00020FC2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 xml:space="preserve">Przedmiotem sprawdzianu, który aplikanci będą pisać po odbyciu praktyk po 12 zjeździe, tj. w dniu 24 lutego 2025 r., będzie opracowanie stanowiska w zakresie zasadności zażalenia na postanowienie kończące postępowanie przygotowawcze lub projektu postanowienia o uwzględnieniu zażalenia. </w:t>
      </w: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FC2">
        <w:rPr>
          <w:rFonts w:ascii="Times New Roman" w:hAnsi="Times New Roman" w:cs="Times New Roman"/>
          <w:b/>
          <w:sz w:val="24"/>
          <w:szCs w:val="24"/>
        </w:rPr>
        <w:t xml:space="preserve">Dlatego ważnym jest, aby aplikanci podczas praktyk opanowali tę umiejętność </w:t>
      </w:r>
      <w:r w:rsidR="00A84910">
        <w:rPr>
          <w:rFonts w:ascii="Times New Roman" w:hAnsi="Times New Roman" w:cs="Times New Roman"/>
          <w:b/>
          <w:sz w:val="24"/>
          <w:szCs w:val="24"/>
        </w:rPr>
        <w:br/>
      </w:r>
      <w:r w:rsidRPr="00020FC2">
        <w:rPr>
          <w:rFonts w:ascii="Times New Roman" w:hAnsi="Times New Roman" w:cs="Times New Roman"/>
          <w:b/>
          <w:sz w:val="24"/>
          <w:szCs w:val="24"/>
        </w:rPr>
        <w:t xml:space="preserve">w jak najwyższym stopniu.     </w:t>
      </w:r>
    </w:p>
    <w:p w:rsidR="00CB6F41" w:rsidRPr="00020FC2" w:rsidRDefault="00CB6F41" w:rsidP="00CB6F41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43B" w:rsidRPr="00020FC2" w:rsidRDefault="001C643B" w:rsidP="001C643B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643B" w:rsidRPr="00020FC2" w:rsidRDefault="001C643B" w:rsidP="001C64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39F4" w:rsidRPr="00020FC2" w:rsidRDefault="009C39F4" w:rsidP="00FF2587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020FC2">
        <w:rPr>
          <w:rFonts w:ascii="Times New Roman" w:hAnsi="Times New Roman" w:cs="Times New Roman"/>
          <w:b/>
          <w:sz w:val="24"/>
          <w:szCs w:val="24"/>
        </w:rPr>
        <w:t xml:space="preserve">Kierownik </w:t>
      </w:r>
    </w:p>
    <w:p w:rsidR="009C39F4" w:rsidRPr="00020FC2" w:rsidRDefault="00A84910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39F4" w:rsidRPr="00020FC2">
        <w:rPr>
          <w:rFonts w:ascii="Times New Roman" w:hAnsi="Times New Roman" w:cs="Times New Roman"/>
          <w:b/>
          <w:sz w:val="24"/>
          <w:szCs w:val="24"/>
        </w:rPr>
        <w:t>Działu Dydaktycznego</w:t>
      </w:r>
    </w:p>
    <w:p w:rsidR="009C39F4" w:rsidRPr="00020FC2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FC2">
        <w:rPr>
          <w:rFonts w:ascii="Times New Roman" w:hAnsi="Times New Roman" w:cs="Times New Roman"/>
          <w:b/>
          <w:sz w:val="24"/>
          <w:szCs w:val="24"/>
        </w:rPr>
        <w:t>w</w:t>
      </w:r>
      <w:r w:rsidR="00A84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FC2">
        <w:rPr>
          <w:rFonts w:ascii="Times New Roman" w:hAnsi="Times New Roman" w:cs="Times New Roman"/>
          <w:b/>
          <w:sz w:val="24"/>
          <w:szCs w:val="24"/>
        </w:rPr>
        <w:t xml:space="preserve"> Ośrodku Aplikacji Prokuratorskiej</w:t>
      </w:r>
    </w:p>
    <w:p w:rsidR="009C39F4" w:rsidRPr="00020FC2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99" w:rsidRPr="00020FC2" w:rsidRDefault="00784999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FC2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BD5D54" w:rsidRPr="00020FC2" w:rsidRDefault="00A84910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C39F4" w:rsidRPr="00020FC2">
        <w:rPr>
          <w:rFonts w:ascii="Times New Roman" w:hAnsi="Times New Roman" w:cs="Times New Roman"/>
          <w:b/>
          <w:sz w:val="24"/>
          <w:szCs w:val="24"/>
        </w:rPr>
        <w:t>rokurator</w:t>
      </w:r>
      <w:bookmarkStart w:id="0" w:name="_GoBack"/>
      <w:bookmarkEnd w:id="0"/>
    </w:p>
    <w:p w:rsidR="001C643B" w:rsidRPr="00020FC2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43B" w:rsidRPr="00020FC2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73E" w:rsidRPr="00020FC2" w:rsidRDefault="0028773E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43B" w:rsidRPr="00020FC2" w:rsidRDefault="001C643B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93CAF" w:rsidRPr="00020FC2" w:rsidRDefault="003E14E1" w:rsidP="007849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0FC2">
        <w:rPr>
          <w:rFonts w:ascii="Times New Roman" w:hAnsi="Times New Roman" w:cs="Times New Roman"/>
          <w:b/>
          <w:sz w:val="24"/>
          <w:szCs w:val="24"/>
          <w:u w:val="single"/>
        </w:rPr>
        <w:t>Załącznik do zaleceń</w:t>
      </w:r>
      <w:r w:rsidR="00020FC2" w:rsidRPr="00020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12</w:t>
      </w:r>
      <w:r w:rsidR="00FF2587" w:rsidRPr="00020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 X</w:t>
      </w:r>
      <w:r w:rsidR="00784999" w:rsidRPr="00020FC2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Pr="00020FC2">
        <w:rPr>
          <w:rFonts w:ascii="Times New Roman" w:hAnsi="Times New Roman" w:cs="Times New Roman"/>
          <w:b/>
          <w:sz w:val="24"/>
          <w:szCs w:val="24"/>
          <w:u w:val="single"/>
        </w:rPr>
        <w:t>rocznika aplikacji prokuratorskiej</w:t>
      </w:r>
      <w:r w:rsidRPr="00020FC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2587" w:rsidRPr="00020FC2" w:rsidRDefault="00020FC2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FC2">
        <w:rPr>
          <w:rFonts w:ascii="Times New Roman" w:hAnsi="Times New Roman" w:cs="Times New Roman"/>
          <w:sz w:val="24"/>
          <w:szCs w:val="24"/>
        </w:rPr>
        <w:t xml:space="preserve">Przedmiotem 12 </w:t>
      </w:r>
      <w:r w:rsidR="00FF2587" w:rsidRPr="00020FC2">
        <w:rPr>
          <w:rFonts w:ascii="Times New Roman" w:hAnsi="Times New Roman" w:cs="Times New Roman"/>
          <w:sz w:val="24"/>
          <w:szCs w:val="24"/>
        </w:rPr>
        <w:t>zjazdu aplikacji  prokuratorskie</w:t>
      </w:r>
      <w:r>
        <w:rPr>
          <w:rFonts w:ascii="Times New Roman" w:hAnsi="Times New Roman" w:cs="Times New Roman"/>
          <w:sz w:val="24"/>
          <w:szCs w:val="24"/>
        </w:rPr>
        <w:t xml:space="preserve">j, który odbędzie się w dniach </w:t>
      </w:r>
      <w:r w:rsidR="0028773E" w:rsidRPr="00020FC2">
        <w:rPr>
          <w:rFonts w:ascii="Times New Roman" w:hAnsi="Times New Roman" w:cs="Times New Roman"/>
          <w:sz w:val="24"/>
          <w:szCs w:val="24"/>
        </w:rPr>
        <w:t xml:space="preserve">od </w:t>
      </w:r>
      <w:r w:rsidRPr="00020FC2">
        <w:rPr>
          <w:rFonts w:ascii="Times New Roman" w:hAnsi="Times New Roman" w:cs="Times New Roman"/>
          <w:sz w:val="24"/>
          <w:szCs w:val="24"/>
        </w:rPr>
        <w:t>20 do 24 stycznia 2025</w:t>
      </w:r>
      <w:r w:rsidR="002818DB" w:rsidRPr="00020FC2">
        <w:rPr>
          <w:rFonts w:ascii="Times New Roman" w:hAnsi="Times New Roman" w:cs="Times New Roman"/>
          <w:sz w:val="24"/>
          <w:szCs w:val="24"/>
        </w:rPr>
        <w:t xml:space="preserve"> </w:t>
      </w:r>
      <w:r w:rsidR="00FF2587" w:rsidRPr="00020FC2">
        <w:rPr>
          <w:rFonts w:ascii="Times New Roman" w:hAnsi="Times New Roman" w:cs="Times New Roman"/>
          <w:sz w:val="24"/>
          <w:szCs w:val="24"/>
        </w:rPr>
        <w:t>r. będzie:</w:t>
      </w:r>
    </w:p>
    <w:p w:rsidR="00020FC2" w:rsidRPr="00020FC2" w:rsidRDefault="00A84910" w:rsidP="00020FC2">
      <w:pPr>
        <w:keepNext/>
        <w:keepLines/>
        <w:spacing w:before="360" w:after="360" w:line="360" w:lineRule="auto"/>
        <w:ind w:firstLine="708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I.</w:t>
      </w:r>
      <w:r w:rsidR="00020FC2" w:rsidRPr="00020FC2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 xml:space="preserve"> Medycyna sądowa- aspekt medyczny</w:t>
      </w:r>
    </w:p>
    <w:p w:rsidR="00020FC2" w:rsidRPr="00020FC2" w:rsidRDefault="00020FC2" w:rsidP="00020FC2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20FC2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1/</w:t>
      </w:r>
      <w:r w:rsidRPr="00020FC2">
        <w:rPr>
          <w:rFonts w:ascii="Times New Roman" w:eastAsiaTheme="minorEastAsia" w:hAnsi="Times New Roman" w:cs="Times New Roman"/>
          <w:sz w:val="24"/>
          <w:szCs w:val="24"/>
          <w:lang w:eastAsia="pl-PL"/>
        </w:rPr>
        <w:t>Toksykologia i alkohologia sądowo-lekarska. Ustalanie stanu nietrzeźwości. Środki   odurzające oraz tzw. dopalacze.</w:t>
      </w:r>
    </w:p>
    <w:p w:rsidR="00020FC2" w:rsidRPr="00020FC2" w:rsidRDefault="00020FC2" w:rsidP="00020FC2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20FC2">
        <w:rPr>
          <w:rFonts w:ascii="Times New Roman" w:eastAsiaTheme="minorEastAsia" w:hAnsi="Times New Roman" w:cs="Times New Roman"/>
          <w:sz w:val="24"/>
          <w:szCs w:val="24"/>
          <w:lang w:eastAsia="pl-PL"/>
        </w:rPr>
        <w:t>2/Badanie śladów krwi i innych śladów biologicznych. Hemogenetyka oraz biomechanika śladów krwawych. Ujawnianie śladów niewidocznych.</w:t>
      </w:r>
    </w:p>
    <w:p w:rsidR="00020FC2" w:rsidRPr="00020FC2" w:rsidRDefault="00020FC2" w:rsidP="00020FC2">
      <w:pPr>
        <w:keepNext/>
        <w:keepLines/>
        <w:spacing w:before="360" w:after="36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A8491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A8491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20F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II.</w:t>
      </w:r>
      <w:r w:rsidRPr="00020FC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20FC2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Prawo karne procesowe</w:t>
      </w:r>
    </w:p>
    <w:p w:rsidR="00020FC2" w:rsidRPr="00020FC2" w:rsidRDefault="00020FC2" w:rsidP="00020FC2">
      <w:pPr>
        <w:keepNext/>
        <w:keepLines/>
        <w:spacing w:before="360" w:after="36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020FC2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1/</w:t>
      </w:r>
      <w:r w:rsidRPr="00A8491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Kartoteki i zewnętrzne bazy danych </w:t>
      </w:r>
    </w:p>
    <w:p w:rsidR="00020FC2" w:rsidRPr="00020FC2" w:rsidRDefault="00020FC2" w:rsidP="00020FC2">
      <w:pPr>
        <w:keepNext/>
        <w:keepLines/>
        <w:spacing w:before="360" w:after="36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020F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2/</w:t>
      </w:r>
      <w:r w:rsidRPr="00020FC2">
        <w:rPr>
          <w:rFonts w:ascii="Times New Roman" w:eastAsiaTheme="minorEastAsia" w:hAnsi="Times New Roman" w:cs="Times New Roman"/>
          <w:sz w:val="24"/>
          <w:szCs w:val="24"/>
          <w:lang w:eastAsia="pl-PL"/>
        </w:rPr>
        <w:t>Ocenianie przez prokuratora zasadności środka odwoławczego od postanowienia kończącego postępowanie przygotowawcze.</w:t>
      </w:r>
    </w:p>
    <w:p w:rsidR="00020FC2" w:rsidRPr="00020FC2" w:rsidRDefault="00020FC2" w:rsidP="00020FC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20F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3/</w:t>
      </w:r>
      <w:r w:rsidRPr="00020FC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Sądowa kontrola decyzji prokuratora kończących postępowanie przygotowawcze (inne czynności sądowe w postępowaniu przygotowawczym podlegają omówieniu </w:t>
      </w:r>
      <w:r w:rsidRPr="00020FC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w ramach zajęć z przebiegu postępowania przygotowawczego).</w:t>
      </w:r>
    </w:p>
    <w:p w:rsidR="00020FC2" w:rsidRPr="00020FC2" w:rsidRDefault="00020FC2" w:rsidP="00020FC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20FC2" w:rsidRPr="00020FC2" w:rsidRDefault="00020FC2" w:rsidP="00020F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8491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4/</w:t>
      </w:r>
      <w:r w:rsidRPr="00020FC2">
        <w:rPr>
          <w:rFonts w:ascii="Times New Roman" w:eastAsiaTheme="minorEastAsia" w:hAnsi="Times New Roman" w:cs="Times New Roman"/>
          <w:sz w:val="24"/>
          <w:szCs w:val="24"/>
          <w:lang w:eastAsia="pl-PL"/>
        </w:rPr>
        <w:t>Ochrona i wykorzystanie w postępowaniu informacji niejawnych (świadek anonimowy i świadek koronny; czynności operacyjno – rozpoznawcze) w świetle praktyki orzeczniczej krajowej i międzynarodowej.</w:t>
      </w:r>
    </w:p>
    <w:p w:rsidR="00020FC2" w:rsidRPr="00020FC2" w:rsidRDefault="00020FC2" w:rsidP="00020F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020FC2" w:rsidRPr="00020FC2" w:rsidRDefault="00020FC2" w:rsidP="00020FC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20F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5/ </w:t>
      </w:r>
      <w:r w:rsidRPr="00020FC2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Kontrola i utrwalanie rozmów</w:t>
      </w:r>
      <w:r w:rsidRPr="00020FC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</w:p>
    <w:p w:rsidR="00093CAF" w:rsidRPr="002818DB" w:rsidRDefault="00093CAF" w:rsidP="002818DB">
      <w:pPr>
        <w:jc w:val="both"/>
        <w:rPr>
          <w:b/>
        </w:rPr>
      </w:pPr>
    </w:p>
    <w:sectPr w:rsidR="00093CAF" w:rsidRPr="002818DB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33" w:rsidRDefault="00515F33">
      <w:pPr>
        <w:spacing w:after="0" w:line="240" w:lineRule="auto"/>
      </w:pPr>
      <w:r>
        <w:separator/>
      </w:r>
    </w:p>
  </w:endnote>
  <w:endnote w:type="continuationSeparator" w:id="0">
    <w:p w:rsidR="00515F33" w:rsidRDefault="005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84910">
      <w:rPr>
        <w:noProof/>
      </w:rPr>
      <w:t>3</w:t>
    </w:r>
    <w:r>
      <w:rPr>
        <w:noProof/>
      </w:rPr>
      <w:fldChar w:fldCharType="end"/>
    </w:r>
  </w:p>
  <w:p w:rsidR="001B510F" w:rsidRDefault="00515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515F33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515F33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33" w:rsidRDefault="00515F33">
      <w:pPr>
        <w:spacing w:after="0" w:line="240" w:lineRule="auto"/>
      </w:pPr>
      <w:r>
        <w:separator/>
      </w:r>
    </w:p>
  </w:footnote>
  <w:footnote w:type="continuationSeparator" w:id="0">
    <w:p w:rsidR="00515F33" w:rsidRDefault="005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515F33" w:rsidP="003D147B">
    <w:pPr>
      <w:pStyle w:val="Nagwek"/>
      <w:ind w:right="4959"/>
      <w:jc w:val="center"/>
      <w:rPr>
        <w:b/>
      </w:rPr>
    </w:pPr>
  </w:p>
  <w:p w:rsidR="001B510F" w:rsidRPr="009E7ADE" w:rsidRDefault="00515F33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515F33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27A"/>
    <w:multiLevelType w:val="hybridMultilevel"/>
    <w:tmpl w:val="4768F518"/>
    <w:lvl w:ilvl="0" w:tplc="805CEFC0">
      <w:start w:val="1"/>
      <w:numFmt w:val="decimal"/>
      <w:lvlText w:val="%1.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137D66D0"/>
    <w:multiLevelType w:val="hybridMultilevel"/>
    <w:tmpl w:val="47863C1C"/>
    <w:lvl w:ilvl="0" w:tplc="0974F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20FC2"/>
    <w:rsid w:val="0004358B"/>
    <w:rsid w:val="000641D1"/>
    <w:rsid w:val="0007004D"/>
    <w:rsid w:val="000937D0"/>
    <w:rsid w:val="00093CAF"/>
    <w:rsid w:val="000A5846"/>
    <w:rsid w:val="000B4076"/>
    <w:rsid w:val="001C643B"/>
    <w:rsid w:val="001D00EF"/>
    <w:rsid w:val="00232961"/>
    <w:rsid w:val="002818DB"/>
    <w:rsid w:val="0028773E"/>
    <w:rsid w:val="00313D8C"/>
    <w:rsid w:val="00344B32"/>
    <w:rsid w:val="003E14E1"/>
    <w:rsid w:val="00435CDB"/>
    <w:rsid w:val="00482F4C"/>
    <w:rsid w:val="004B7502"/>
    <w:rsid w:val="005052C3"/>
    <w:rsid w:val="00515F33"/>
    <w:rsid w:val="00560C39"/>
    <w:rsid w:val="005A3B58"/>
    <w:rsid w:val="005C1373"/>
    <w:rsid w:val="006241BE"/>
    <w:rsid w:val="006A55A4"/>
    <w:rsid w:val="00727C2B"/>
    <w:rsid w:val="00766977"/>
    <w:rsid w:val="0078274D"/>
    <w:rsid w:val="00784999"/>
    <w:rsid w:val="007E2FC5"/>
    <w:rsid w:val="007E5AD4"/>
    <w:rsid w:val="008177FC"/>
    <w:rsid w:val="008A505E"/>
    <w:rsid w:val="008C070F"/>
    <w:rsid w:val="0090475A"/>
    <w:rsid w:val="00944825"/>
    <w:rsid w:val="009508D5"/>
    <w:rsid w:val="009539E4"/>
    <w:rsid w:val="00987268"/>
    <w:rsid w:val="009C0B66"/>
    <w:rsid w:val="009C39F4"/>
    <w:rsid w:val="00A10440"/>
    <w:rsid w:val="00A53709"/>
    <w:rsid w:val="00A84910"/>
    <w:rsid w:val="00AC5D7C"/>
    <w:rsid w:val="00BB245F"/>
    <w:rsid w:val="00BC1096"/>
    <w:rsid w:val="00BD5D54"/>
    <w:rsid w:val="00C568A4"/>
    <w:rsid w:val="00CB6F41"/>
    <w:rsid w:val="00D25D71"/>
    <w:rsid w:val="00D95C61"/>
    <w:rsid w:val="00E512BB"/>
    <w:rsid w:val="00E81285"/>
    <w:rsid w:val="00ED39E2"/>
    <w:rsid w:val="00F0536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CAB3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2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3</cp:revision>
  <dcterms:created xsi:type="dcterms:W3CDTF">2024-10-09T05:38:00Z</dcterms:created>
  <dcterms:modified xsi:type="dcterms:W3CDTF">2024-12-09T07:06:00Z</dcterms:modified>
</cp:coreProperties>
</file>