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BE286" w14:textId="6AA1194A" w:rsidR="00A24D29" w:rsidRPr="003B3DCD" w:rsidRDefault="0001405B" w:rsidP="003B3DCD">
      <w:pPr>
        <w:pStyle w:val="Nagwek"/>
        <w:tabs>
          <w:tab w:val="clear" w:pos="4536"/>
          <w:tab w:val="clear" w:pos="9072"/>
          <w:tab w:val="right" w:pos="5103"/>
          <w:tab w:val="left" w:pos="10527"/>
        </w:tabs>
        <w:spacing w:line="276" w:lineRule="auto"/>
        <w:ind w:left="-851" w:right="5526"/>
        <w:rPr>
          <w:spacing w:val="20"/>
        </w:rPr>
      </w:pPr>
      <w:r w:rsidRPr="003B3DCD">
        <w:rPr>
          <w:noProof/>
        </w:rPr>
        <w:drawing>
          <wp:anchor distT="0" distB="0" distL="114300" distR="114300" simplePos="0" relativeHeight="251659264" behindDoc="0" locked="0" layoutInCell="1" allowOverlap="1" wp14:anchorId="2DCFCCF7" wp14:editId="1366DCBA">
            <wp:simplePos x="0" y="0"/>
            <wp:positionH relativeFrom="column">
              <wp:posOffset>530785</wp:posOffset>
            </wp:positionH>
            <wp:positionV relativeFrom="paragraph">
              <wp:posOffset>60325</wp:posOffset>
            </wp:positionV>
            <wp:extent cx="674446" cy="6362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988" cy="642441"/>
                    </a:xfrm>
                    <a:prstGeom prst="rect">
                      <a:avLst/>
                    </a:prstGeom>
                    <a:noFill/>
                  </pic:spPr>
                </pic:pic>
              </a:graphicData>
            </a:graphic>
            <wp14:sizeRelH relativeFrom="page">
              <wp14:pctWidth>0</wp14:pctWidth>
            </wp14:sizeRelH>
            <wp14:sizeRelV relativeFrom="page">
              <wp14:pctHeight>0</wp14:pctHeight>
            </wp14:sizeRelV>
          </wp:anchor>
        </w:drawing>
      </w:r>
    </w:p>
    <w:p w14:paraId="5F3F9ECD" w14:textId="065449D5" w:rsidR="007C3A8C" w:rsidRPr="003B3DCD" w:rsidRDefault="007C3A8C" w:rsidP="003B3DCD">
      <w:pPr>
        <w:pStyle w:val="Nagwek"/>
        <w:tabs>
          <w:tab w:val="clear" w:pos="4536"/>
          <w:tab w:val="clear" w:pos="9072"/>
          <w:tab w:val="right" w:pos="5103"/>
          <w:tab w:val="left" w:pos="10527"/>
        </w:tabs>
        <w:spacing w:line="276" w:lineRule="auto"/>
        <w:ind w:left="-851" w:right="5526"/>
        <w:rPr>
          <w:spacing w:val="20"/>
        </w:rPr>
      </w:pPr>
      <w:r w:rsidRPr="003B3DCD">
        <w:rPr>
          <w:spacing w:val="20"/>
        </w:rPr>
        <w:t xml:space="preserve"> </w:t>
      </w:r>
    </w:p>
    <w:p w14:paraId="26BC11B7" w14:textId="77777777" w:rsidR="007C3A8C" w:rsidRPr="003B3DCD" w:rsidRDefault="007C3A8C" w:rsidP="003B3DCD">
      <w:pPr>
        <w:pStyle w:val="Nagwek"/>
        <w:spacing w:line="276" w:lineRule="auto"/>
        <w:ind w:right="4959"/>
        <w:jc w:val="center"/>
        <w:rPr>
          <w:b/>
        </w:rPr>
      </w:pPr>
    </w:p>
    <w:p w14:paraId="18006948" w14:textId="77777777" w:rsidR="007C3A8C" w:rsidRPr="003B3DCD" w:rsidRDefault="007C3A8C" w:rsidP="003B3DCD">
      <w:pPr>
        <w:pStyle w:val="Nagwek"/>
        <w:spacing w:line="276" w:lineRule="auto"/>
        <w:ind w:left="-851" w:right="5526"/>
        <w:jc w:val="center"/>
        <w:rPr>
          <w:b/>
        </w:rPr>
      </w:pPr>
    </w:p>
    <w:p w14:paraId="62D3B3CA" w14:textId="77777777" w:rsidR="007C3A8C" w:rsidRPr="003B3DCD" w:rsidRDefault="007C3A8C" w:rsidP="003B3DCD">
      <w:pPr>
        <w:pStyle w:val="Nagwek"/>
        <w:spacing w:line="276" w:lineRule="auto"/>
        <w:ind w:left="-851" w:right="5526"/>
        <w:jc w:val="center"/>
        <w:rPr>
          <w:b/>
        </w:rPr>
      </w:pPr>
      <w:r w:rsidRPr="003B3DCD">
        <w:rPr>
          <w:b/>
        </w:rPr>
        <w:t>KRAJOWA SZKOŁA</w:t>
      </w:r>
    </w:p>
    <w:p w14:paraId="6EA534E8" w14:textId="77777777" w:rsidR="007C3A8C" w:rsidRPr="003B3DCD" w:rsidRDefault="007C3A8C" w:rsidP="003B3DCD">
      <w:pPr>
        <w:pStyle w:val="Nagwek"/>
        <w:spacing w:line="276" w:lineRule="auto"/>
        <w:ind w:left="-851" w:right="5526"/>
        <w:jc w:val="center"/>
        <w:rPr>
          <w:b/>
        </w:rPr>
      </w:pPr>
      <w:r w:rsidRPr="003B3DCD">
        <w:rPr>
          <w:b/>
        </w:rPr>
        <w:t xml:space="preserve"> SĄDOWNICTWA I PROKURATURY</w:t>
      </w:r>
    </w:p>
    <w:p w14:paraId="52EB9108" w14:textId="26A45C22" w:rsidR="007C3A8C" w:rsidRPr="003B3DCD" w:rsidRDefault="007C3A8C" w:rsidP="003B3DCD">
      <w:pPr>
        <w:pStyle w:val="Nagwek"/>
        <w:spacing w:line="276" w:lineRule="auto"/>
        <w:ind w:right="4392" w:hanging="283"/>
        <w:rPr>
          <w:b/>
        </w:rPr>
      </w:pPr>
    </w:p>
    <w:p w14:paraId="3227B759" w14:textId="290176ED" w:rsidR="007C3A8C" w:rsidRPr="003B3DCD" w:rsidRDefault="007C3A8C" w:rsidP="003B3DCD">
      <w:pPr>
        <w:spacing w:after="0"/>
        <w:jc w:val="right"/>
        <w:rPr>
          <w:rFonts w:ascii="Times New Roman" w:hAnsi="Times New Roman"/>
          <w:sz w:val="24"/>
          <w:szCs w:val="24"/>
        </w:rPr>
      </w:pPr>
      <w:r w:rsidRPr="003B3DCD">
        <w:rPr>
          <w:rFonts w:ascii="Times New Roman" w:hAnsi="Times New Roman"/>
          <w:sz w:val="24"/>
          <w:szCs w:val="24"/>
        </w:rPr>
        <w:t xml:space="preserve">Kraków, </w:t>
      </w:r>
      <w:r w:rsidR="007C6F97">
        <w:rPr>
          <w:rFonts w:ascii="Times New Roman" w:hAnsi="Times New Roman"/>
          <w:sz w:val="24"/>
          <w:szCs w:val="24"/>
        </w:rPr>
        <w:t>3 marca</w:t>
      </w:r>
      <w:r w:rsidR="00A041E3" w:rsidRPr="003B3DCD">
        <w:rPr>
          <w:rFonts w:ascii="Times New Roman" w:hAnsi="Times New Roman"/>
          <w:sz w:val="24"/>
          <w:szCs w:val="24"/>
        </w:rPr>
        <w:t xml:space="preserve"> 2022</w:t>
      </w:r>
      <w:r w:rsidRPr="003B3DCD">
        <w:rPr>
          <w:rFonts w:ascii="Times New Roman" w:hAnsi="Times New Roman"/>
          <w:sz w:val="24"/>
          <w:szCs w:val="24"/>
        </w:rPr>
        <w:t xml:space="preserve"> </w:t>
      </w:r>
      <w:r w:rsidR="00B732B5" w:rsidRPr="003B3DCD">
        <w:rPr>
          <w:rFonts w:ascii="Times New Roman" w:hAnsi="Times New Roman"/>
          <w:sz w:val="24"/>
          <w:szCs w:val="24"/>
        </w:rPr>
        <w:t>r</w:t>
      </w:r>
      <w:r w:rsidRPr="003B3DCD">
        <w:rPr>
          <w:rFonts w:ascii="Times New Roman" w:hAnsi="Times New Roman"/>
          <w:sz w:val="24"/>
          <w:szCs w:val="24"/>
        </w:rPr>
        <w:t>.</w:t>
      </w:r>
    </w:p>
    <w:tbl>
      <w:tblPr>
        <w:tblW w:w="0" w:type="auto"/>
        <w:tblCellSpacing w:w="0" w:type="dxa"/>
        <w:tblCellMar>
          <w:left w:w="0" w:type="dxa"/>
          <w:right w:w="0" w:type="dxa"/>
        </w:tblCellMar>
        <w:tblLook w:val="04A0" w:firstRow="1" w:lastRow="0" w:firstColumn="1" w:lastColumn="0" w:noHBand="0" w:noVBand="1"/>
      </w:tblPr>
      <w:tblGrid>
        <w:gridCol w:w="6"/>
        <w:gridCol w:w="1880"/>
      </w:tblGrid>
      <w:tr w:rsidR="007A3B09" w:rsidRPr="003B3DCD" w14:paraId="7B655B4F" w14:textId="77777777" w:rsidTr="007A3B09">
        <w:trPr>
          <w:tblCellSpacing w:w="0" w:type="dxa"/>
        </w:trPr>
        <w:tc>
          <w:tcPr>
            <w:tcW w:w="0" w:type="auto"/>
            <w:vAlign w:val="center"/>
            <w:hideMark/>
          </w:tcPr>
          <w:p w14:paraId="22F6017E" w14:textId="77777777" w:rsidR="007A3B09" w:rsidRPr="003B3DCD" w:rsidRDefault="007A3B09" w:rsidP="003B3DCD">
            <w:pPr>
              <w:spacing w:after="0"/>
              <w:rPr>
                <w:rFonts w:ascii="Times New Roman" w:eastAsia="Times New Roman" w:hAnsi="Times New Roman"/>
                <w:sz w:val="24"/>
                <w:szCs w:val="24"/>
                <w:lang w:eastAsia="pl-PL"/>
              </w:rPr>
            </w:pPr>
          </w:p>
        </w:tc>
        <w:tc>
          <w:tcPr>
            <w:tcW w:w="0" w:type="auto"/>
            <w:vAlign w:val="center"/>
            <w:hideMark/>
          </w:tcPr>
          <w:p w14:paraId="52A41278" w14:textId="15D1C942" w:rsidR="007A3B09" w:rsidRPr="003B3DCD" w:rsidRDefault="007144FA" w:rsidP="003B3DCD">
            <w:pPr>
              <w:spacing w:after="0"/>
              <w:rPr>
                <w:rFonts w:ascii="Times New Roman" w:eastAsia="Times New Roman" w:hAnsi="Times New Roman"/>
                <w:sz w:val="24"/>
                <w:szCs w:val="24"/>
                <w:lang w:eastAsia="pl-PL"/>
              </w:rPr>
            </w:pPr>
            <w:r w:rsidRPr="003B3DCD">
              <w:rPr>
                <w:rFonts w:ascii="Times New Roman" w:eastAsia="Times New Roman" w:hAnsi="Times New Roman"/>
                <w:sz w:val="24"/>
                <w:szCs w:val="24"/>
                <w:lang w:eastAsia="pl-PL"/>
              </w:rPr>
              <w:t>OAS-II-420.2.2022</w:t>
            </w:r>
          </w:p>
        </w:tc>
      </w:tr>
    </w:tbl>
    <w:p w14:paraId="3D91AE1D" w14:textId="70F60337" w:rsidR="007A3B09" w:rsidRDefault="007A3B09" w:rsidP="003B3DCD">
      <w:pPr>
        <w:spacing w:after="0"/>
        <w:jc w:val="both"/>
        <w:rPr>
          <w:rFonts w:ascii="Times New Roman" w:hAnsi="Times New Roman"/>
          <w:i/>
          <w:sz w:val="24"/>
          <w:szCs w:val="24"/>
        </w:rPr>
      </w:pPr>
    </w:p>
    <w:p w14:paraId="28E655B6" w14:textId="77777777" w:rsidR="00D9411F" w:rsidRPr="003B3DCD" w:rsidRDefault="00D9411F" w:rsidP="003B3DCD">
      <w:pPr>
        <w:spacing w:after="0"/>
        <w:jc w:val="both"/>
        <w:rPr>
          <w:rFonts w:ascii="Times New Roman" w:hAnsi="Times New Roman"/>
          <w:i/>
          <w:sz w:val="24"/>
          <w:szCs w:val="24"/>
        </w:rPr>
      </w:pPr>
    </w:p>
    <w:p w14:paraId="12DB2A57" w14:textId="769C91A3" w:rsidR="007C3A8C" w:rsidRPr="003B3DCD" w:rsidRDefault="007C3A8C" w:rsidP="003B3DCD">
      <w:pPr>
        <w:spacing w:after="0"/>
        <w:jc w:val="both"/>
        <w:rPr>
          <w:rFonts w:ascii="Times New Roman" w:hAnsi="Times New Roman"/>
          <w:i/>
          <w:sz w:val="24"/>
          <w:szCs w:val="24"/>
        </w:rPr>
      </w:pPr>
      <w:r w:rsidRPr="003B3DCD">
        <w:rPr>
          <w:rFonts w:ascii="Times New Roman" w:hAnsi="Times New Roman"/>
          <w:i/>
          <w:sz w:val="24"/>
          <w:szCs w:val="24"/>
        </w:rPr>
        <w:t xml:space="preserve">Dot. praktyk aplikantów </w:t>
      </w:r>
      <w:r w:rsidR="00A041E3" w:rsidRPr="003B3DCD">
        <w:rPr>
          <w:rFonts w:ascii="Times New Roman" w:hAnsi="Times New Roman"/>
          <w:i/>
          <w:sz w:val="24"/>
          <w:szCs w:val="24"/>
        </w:rPr>
        <w:t>I</w:t>
      </w:r>
      <w:r w:rsidR="00844891" w:rsidRPr="003B3DCD">
        <w:rPr>
          <w:rFonts w:ascii="Times New Roman" w:hAnsi="Times New Roman"/>
          <w:i/>
          <w:sz w:val="24"/>
          <w:szCs w:val="24"/>
        </w:rPr>
        <w:t>I</w:t>
      </w:r>
      <w:r w:rsidRPr="003B3DCD">
        <w:rPr>
          <w:rFonts w:ascii="Times New Roman" w:hAnsi="Times New Roman"/>
          <w:i/>
          <w:sz w:val="24"/>
          <w:szCs w:val="24"/>
        </w:rPr>
        <w:t xml:space="preserve"> roczni</w:t>
      </w:r>
      <w:r w:rsidR="00374436" w:rsidRPr="003B3DCD">
        <w:rPr>
          <w:rFonts w:ascii="Times New Roman" w:hAnsi="Times New Roman"/>
          <w:i/>
          <w:sz w:val="24"/>
          <w:szCs w:val="24"/>
        </w:rPr>
        <w:t xml:space="preserve">ka aplikacji </w:t>
      </w:r>
      <w:r w:rsidR="0047266C" w:rsidRPr="003B3DCD">
        <w:rPr>
          <w:rFonts w:ascii="Times New Roman" w:hAnsi="Times New Roman"/>
          <w:i/>
          <w:sz w:val="24"/>
          <w:szCs w:val="24"/>
        </w:rPr>
        <w:t xml:space="preserve">uzupełniającej </w:t>
      </w:r>
      <w:r w:rsidR="00374436" w:rsidRPr="003B3DCD">
        <w:rPr>
          <w:rFonts w:ascii="Times New Roman" w:hAnsi="Times New Roman"/>
          <w:i/>
          <w:sz w:val="24"/>
          <w:szCs w:val="24"/>
        </w:rPr>
        <w:t xml:space="preserve">sędziowskiej po </w:t>
      </w:r>
      <w:r w:rsidR="007144FA" w:rsidRPr="003B3DCD">
        <w:rPr>
          <w:rFonts w:ascii="Times New Roman" w:hAnsi="Times New Roman"/>
          <w:i/>
          <w:sz w:val="24"/>
          <w:szCs w:val="24"/>
        </w:rPr>
        <w:t>15</w:t>
      </w:r>
      <w:r w:rsidRPr="003B3DCD">
        <w:rPr>
          <w:rFonts w:ascii="Times New Roman" w:hAnsi="Times New Roman"/>
          <w:i/>
          <w:sz w:val="24"/>
          <w:szCs w:val="24"/>
        </w:rPr>
        <w:t xml:space="preserve"> zjeździe</w:t>
      </w:r>
    </w:p>
    <w:p w14:paraId="7CF40DD7" w14:textId="77777777" w:rsidR="007C3A8C" w:rsidRPr="003B3DCD" w:rsidRDefault="007C3A8C" w:rsidP="003B3DCD">
      <w:pPr>
        <w:spacing w:after="0"/>
        <w:rPr>
          <w:rFonts w:ascii="Times New Roman" w:hAnsi="Times New Roman"/>
          <w:b/>
          <w:sz w:val="24"/>
          <w:szCs w:val="24"/>
        </w:rPr>
      </w:pPr>
    </w:p>
    <w:p w14:paraId="1853CD30" w14:textId="77777777" w:rsidR="003B3DCD" w:rsidRDefault="003B3DCD" w:rsidP="003B3DCD">
      <w:pPr>
        <w:spacing w:after="0"/>
        <w:ind w:left="4248" w:firstLine="708"/>
        <w:rPr>
          <w:rFonts w:ascii="Times New Roman" w:hAnsi="Times New Roman"/>
          <w:b/>
          <w:sz w:val="24"/>
          <w:szCs w:val="24"/>
        </w:rPr>
      </w:pPr>
    </w:p>
    <w:p w14:paraId="39C3E0D3" w14:textId="5330F5D5" w:rsidR="007C3A8C" w:rsidRPr="003B3DCD" w:rsidRDefault="007C3A8C" w:rsidP="003B3DCD">
      <w:pPr>
        <w:spacing w:after="0"/>
        <w:ind w:left="4248" w:firstLine="708"/>
        <w:rPr>
          <w:rFonts w:ascii="Times New Roman" w:hAnsi="Times New Roman"/>
          <w:b/>
          <w:sz w:val="24"/>
          <w:szCs w:val="24"/>
        </w:rPr>
      </w:pPr>
      <w:r w:rsidRPr="003B3DCD">
        <w:rPr>
          <w:rFonts w:ascii="Times New Roman" w:hAnsi="Times New Roman"/>
          <w:b/>
          <w:sz w:val="24"/>
          <w:szCs w:val="24"/>
        </w:rPr>
        <w:t>Do</w:t>
      </w:r>
    </w:p>
    <w:p w14:paraId="2A94D1E6" w14:textId="651DE8A8" w:rsidR="007C3A8C" w:rsidRPr="003B3DCD" w:rsidRDefault="00B732B5" w:rsidP="003B3DCD">
      <w:pPr>
        <w:spacing w:after="0"/>
        <w:ind w:left="4956"/>
        <w:rPr>
          <w:rFonts w:ascii="Times New Roman" w:hAnsi="Times New Roman"/>
          <w:b/>
          <w:sz w:val="24"/>
          <w:szCs w:val="24"/>
        </w:rPr>
      </w:pPr>
      <w:r w:rsidRPr="003B3DCD">
        <w:rPr>
          <w:rFonts w:ascii="Times New Roman" w:hAnsi="Times New Roman"/>
          <w:b/>
          <w:sz w:val="24"/>
          <w:szCs w:val="24"/>
        </w:rPr>
        <w:t>P</w:t>
      </w:r>
      <w:r w:rsidR="007C3A8C" w:rsidRPr="003B3DCD">
        <w:rPr>
          <w:rFonts w:ascii="Times New Roman" w:hAnsi="Times New Roman"/>
          <w:b/>
          <w:sz w:val="24"/>
          <w:szCs w:val="24"/>
        </w:rPr>
        <w:t>atronów praktyk</w:t>
      </w:r>
    </w:p>
    <w:p w14:paraId="2A4536D4" w14:textId="2F380094" w:rsidR="007C3A8C" w:rsidRPr="003B3DCD" w:rsidRDefault="007C3A8C" w:rsidP="003B3DCD">
      <w:pPr>
        <w:spacing w:after="0"/>
        <w:ind w:left="4956"/>
        <w:rPr>
          <w:rFonts w:ascii="Times New Roman" w:hAnsi="Times New Roman"/>
          <w:b/>
          <w:sz w:val="24"/>
          <w:szCs w:val="24"/>
        </w:rPr>
      </w:pPr>
      <w:r w:rsidRPr="003B3DCD">
        <w:rPr>
          <w:rFonts w:ascii="Times New Roman" w:hAnsi="Times New Roman"/>
          <w:b/>
          <w:sz w:val="24"/>
          <w:szCs w:val="24"/>
        </w:rPr>
        <w:t xml:space="preserve">oraz </w:t>
      </w:r>
      <w:r w:rsidR="00B732B5" w:rsidRPr="003B3DCD">
        <w:rPr>
          <w:rFonts w:ascii="Times New Roman" w:hAnsi="Times New Roman"/>
          <w:b/>
          <w:sz w:val="24"/>
          <w:szCs w:val="24"/>
        </w:rPr>
        <w:t>P</w:t>
      </w:r>
      <w:r w:rsidRPr="003B3DCD">
        <w:rPr>
          <w:rFonts w:ascii="Times New Roman" w:hAnsi="Times New Roman"/>
          <w:b/>
          <w:sz w:val="24"/>
          <w:szCs w:val="24"/>
        </w:rPr>
        <w:t>atronów koordynatorów</w:t>
      </w:r>
    </w:p>
    <w:p w14:paraId="3C55276D" w14:textId="5AD0DF6F" w:rsidR="007C3A8C" w:rsidRPr="003B3DCD" w:rsidRDefault="007C3A8C" w:rsidP="003B3DCD">
      <w:pPr>
        <w:spacing w:after="0"/>
        <w:ind w:left="4956"/>
        <w:jc w:val="both"/>
        <w:rPr>
          <w:rFonts w:ascii="Times New Roman" w:hAnsi="Times New Roman"/>
          <w:b/>
          <w:sz w:val="24"/>
          <w:szCs w:val="24"/>
        </w:rPr>
      </w:pPr>
      <w:r w:rsidRPr="003B3DCD">
        <w:rPr>
          <w:rFonts w:ascii="Times New Roman" w:hAnsi="Times New Roman"/>
          <w:b/>
          <w:sz w:val="24"/>
          <w:szCs w:val="24"/>
        </w:rPr>
        <w:t xml:space="preserve">aplikantów aplikacji </w:t>
      </w:r>
      <w:r w:rsidR="0047266C" w:rsidRPr="003B3DCD">
        <w:rPr>
          <w:rFonts w:ascii="Times New Roman" w:hAnsi="Times New Roman"/>
          <w:b/>
          <w:sz w:val="24"/>
          <w:szCs w:val="24"/>
        </w:rPr>
        <w:t>uzupełniającej</w:t>
      </w:r>
      <w:r w:rsidR="0047266C" w:rsidRPr="003B3DCD">
        <w:rPr>
          <w:rFonts w:ascii="Times New Roman" w:hAnsi="Times New Roman"/>
          <w:i/>
          <w:sz w:val="24"/>
          <w:szCs w:val="24"/>
        </w:rPr>
        <w:t xml:space="preserve"> </w:t>
      </w:r>
      <w:r w:rsidRPr="003B3DCD">
        <w:rPr>
          <w:rFonts w:ascii="Times New Roman" w:hAnsi="Times New Roman"/>
          <w:b/>
          <w:sz w:val="24"/>
          <w:szCs w:val="24"/>
        </w:rPr>
        <w:t>sędziowskiej</w:t>
      </w:r>
    </w:p>
    <w:p w14:paraId="29D65438" w14:textId="61F377FD" w:rsidR="007C3A8C" w:rsidRDefault="007C3A8C" w:rsidP="003B3DCD">
      <w:pPr>
        <w:spacing w:after="0"/>
        <w:ind w:firstLine="708"/>
        <w:jc w:val="both"/>
        <w:rPr>
          <w:rFonts w:ascii="Times New Roman" w:hAnsi="Times New Roman"/>
          <w:sz w:val="24"/>
          <w:szCs w:val="24"/>
        </w:rPr>
      </w:pPr>
    </w:p>
    <w:p w14:paraId="544EFEAC" w14:textId="77777777" w:rsidR="003B3DCD" w:rsidRPr="003B3DCD" w:rsidRDefault="003B3DCD" w:rsidP="003B3DCD">
      <w:pPr>
        <w:spacing w:after="0"/>
        <w:ind w:firstLine="708"/>
        <w:jc w:val="both"/>
        <w:rPr>
          <w:rFonts w:ascii="Times New Roman" w:hAnsi="Times New Roman"/>
          <w:sz w:val="24"/>
          <w:szCs w:val="24"/>
        </w:rPr>
      </w:pPr>
    </w:p>
    <w:p w14:paraId="7F391505" w14:textId="3E0392A3" w:rsidR="0047266C" w:rsidRPr="003B3DCD" w:rsidRDefault="0047266C" w:rsidP="007C6F97">
      <w:pPr>
        <w:spacing w:after="0" w:line="240" w:lineRule="auto"/>
        <w:ind w:firstLine="708"/>
        <w:jc w:val="both"/>
        <w:rPr>
          <w:rFonts w:ascii="Times New Roman" w:hAnsi="Times New Roman"/>
          <w:sz w:val="24"/>
          <w:szCs w:val="24"/>
        </w:rPr>
      </w:pPr>
      <w:r w:rsidRPr="003B3DCD">
        <w:rPr>
          <w:rFonts w:ascii="Times New Roman" w:hAnsi="Times New Roman"/>
          <w:sz w:val="24"/>
          <w:szCs w:val="24"/>
        </w:rPr>
        <w:t>U</w:t>
      </w:r>
      <w:r w:rsidR="007C3A8C" w:rsidRPr="003B3DCD">
        <w:rPr>
          <w:rFonts w:ascii="Times New Roman" w:hAnsi="Times New Roman"/>
          <w:sz w:val="24"/>
          <w:szCs w:val="24"/>
        </w:rPr>
        <w:t xml:space="preserve">przejmie przedstawiam szczegółowy zakres tematyczny, który winien być przedmiotem praktyk aplikantów </w:t>
      </w:r>
      <w:r w:rsidR="00A041E3" w:rsidRPr="003B3DCD">
        <w:rPr>
          <w:rFonts w:ascii="Times New Roman" w:hAnsi="Times New Roman"/>
          <w:sz w:val="24"/>
          <w:szCs w:val="24"/>
        </w:rPr>
        <w:t>II</w:t>
      </w:r>
      <w:r w:rsidR="007C3A8C" w:rsidRPr="003B3DCD">
        <w:rPr>
          <w:rFonts w:ascii="Times New Roman" w:hAnsi="Times New Roman"/>
          <w:sz w:val="24"/>
          <w:szCs w:val="24"/>
        </w:rPr>
        <w:t xml:space="preserve"> rocznika </w:t>
      </w:r>
      <w:r w:rsidR="007C6F97">
        <w:rPr>
          <w:rFonts w:ascii="Times New Roman" w:hAnsi="Times New Roman"/>
          <w:sz w:val="24"/>
          <w:szCs w:val="24"/>
        </w:rPr>
        <w:t>aplikacji sędziowskiej uzupełniającej</w:t>
      </w:r>
      <w:r w:rsidR="007C3A8C" w:rsidRPr="003B3DCD">
        <w:rPr>
          <w:rFonts w:ascii="Times New Roman" w:hAnsi="Times New Roman"/>
          <w:sz w:val="24"/>
          <w:szCs w:val="24"/>
        </w:rPr>
        <w:t xml:space="preserve"> odbywanych w terminie </w:t>
      </w:r>
      <w:r w:rsidRPr="003B3DCD">
        <w:rPr>
          <w:rFonts w:ascii="Times New Roman" w:hAnsi="Times New Roman"/>
          <w:b/>
          <w:sz w:val="24"/>
          <w:szCs w:val="24"/>
        </w:rPr>
        <w:t xml:space="preserve">od </w:t>
      </w:r>
      <w:r w:rsidR="007144FA" w:rsidRPr="003B3DCD">
        <w:rPr>
          <w:rFonts w:ascii="Times New Roman" w:hAnsi="Times New Roman"/>
          <w:b/>
          <w:sz w:val="24"/>
          <w:szCs w:val="24"/>
        </w:rPr>
        <w:t>28</w:t>
      </w:r>
      <w:r w:rsidR="00EF023F" w:rsidRPr="003B3DCD">
        <w:rPr>
          <w:rFonts w:ascii="Times New Roman" w:hAnsi="Times New Roman"/>
          <w:b/>
          <w:sz w:val="24"/>
          <w:szCs w:val="24"/>
        </w:rPr>
        <w:t>.03</w:t>
      </w:r>
      <w:r w:rsidR="00A041E3" w:rsidRPr="003B3DCD">
        <w:rPr>
          <w:rFonts w:ascii="Times New Roman" w:hAnsi="Times New Roman"/>
          <w:b/>
          <w:sz w:val="24"/>
          <w:szCs w:val="24"/>
        </w:rPr>
        <w:t>.2022</w:t>
      </w:r>
      <w:r w:rsidRPr="003B3DCD">
        <w:rPr>
          <w:rFonts w:ascii="Times New Roman" w:hAnsi="Times New Roman"/>
          <w:b/>
          <w:sz w:val="24"/>
          <w:szCs w:val="24"/>
        </w:rPr>
        <w:t xml:space="preserve"> r.</w:t>
      </w:r>
      <w:r w:rsidR="007144FA" w:rsidRPr="003B3DCD">
        <w:rPr>
          <w:rFonts w:ascii="Times New Roman" w:hAnsi="Times New Roman"/>
          <w:b/>
          <w:sz w:val="24"/>
          <w:szCs w:val="24"/>
        </w:rPr>
        <w:t xml:space="preserve"> do 1.04</w:t>
      </w:r>
      <w:r w:rsidR="00A041E3" w:rsidRPr="003B3DCD">
        <w:rPr>
          <w:rFonts w:ascii="Times New Roman" w:hAnsi="Times New Roman"/>
          <w:b/>
          <w:sz w:val="24"/>
          <w:szCs w:val="24"/>
        </w:rPr>
        <w:t>.2022 r.</w:t>
      </w:r>
      <w:r w:rsidR="00A041E3" w:rsidRPr="003B3DCD">
        <w:rPr>
          <w:rFonts w:ascii="Times New Roman" w:hAnsi="Times New Roman"/>
          <w:sz w:val="24"/>
          <w:szCs w:val="24"/>
        </w:rPr>
        <w:t xml:space="preserve"> (w wymiarze 1 dnia roboczego</w:t>
      </w:r>
      <w:r w:rsidRPr="003B3DCD">
        <w:rPr>
          <w:rFonts w:ascii="Times New Roman" w:hAnsi="Times New Roman"/>
          <w:sz w:val="24"/>
          <w:szCs w:val="24"/>
        </w:rPr>
        <w:t xml:space="preserve">) </w:t>
      </w:r>
      <w:r w:rsidR="00A041E3" w:rsidRPr="003B3DCD">
        <w:rPr>
          <w:rFonts w:ascii="Times New Roman" w:hAnsi="Times New Roman"/>
          <w:sz w:val="24"/>
          <w:szCs w:val="24"/>
        </w:rPr>
        <w:t xml:space="preserve">oraz </w:t>
      </w:r>
      <w:r w:rsidR="00A041E3" w:rsidRPr="003B3DCD">
        <w:rPr>
          <w:rFonts w:ascii="Times New Roman" w:hAnsi="Times New Roman"/>
          <w:b/>
          <w:sz w:val="24"/>
          <w:szCs w:val="24"/>
        </w:rPr>
        <w:t>od</w:t>
      </w:r>
      <w:r w:rsidR="00A041E3" w:rsidRPr="003B3DCD">
        <w:rPr>
          <w:rFonts w:ascii="Times New Roman" w:hAnsi="Times New Roman"/>
          <w:sz w:val="24"/>
          <w:szCs w:val="24"/>
        </w:rPr>
        <w:t xml:space="preserve"> </w:t>
      </w:r>
      <w:r w:rsidR="007144FA" w:rsidRPr="003B3DCD">
        <w:rPr>
          <w:rFonts w:ascii="Times New Roman" w:hAnsi="Times New Roman"/>
          <w:b/>
          <w:sz w:val="24"/>
          <w:szCs w:val="24"/>
        </w:rPr>
        <w:t>4.04</w:t>
      </w:r>
      <w:r w:rsidR="00A041E3" w:rsidRPr="003B3DCD">
        <w:rPr>
          <w:rFonts w:ascii="Times New Roman" w:hAnsi="Times New Roman"/>
          <w:b/>
          <w:sz w:val="24"/>
          <w:szCs w:val="24"/>
        </w:rPr>
        <w:t>.2022</w:t>
      </w:r>
      <w:r w:rsidR="007C6F97">
        <w:rPr>
          <w:rFonts w:ascii="Times New Roman" w:hAnsi="Times New Roman"/>
          <w:b/>
          <w:sz w:val="24"/>
          <w:szCs w:val="24"/>
        </w:rPr>
        <w:t xml:space="preserve"> </w:t>
      </w:r>
      <w:r w:rsidR="00A041E3" w:rsidRPr="003B3DCD">
        <w:rPr>
          <w:rFonts w:ascii="Times New Roman" w:hAnsi="Times New Roman"/>
          <w:b/>
          <w:sz w:val="24"/>
          <w:szCs w:val="24"/>
        </w:rPr>
        <w:t xml:space="preserve">r. do </w:t>
      </w:r>
      <w:r w:rsidR="007144FA" w:rsidRPr="003B3DCD">
        <w:rPr>
          <w:rFonts w:ascii="Times New Roman" w:hAnsi="Times New Roman"/>
          <w:b/>
          <w:sz w:val="24"/>
          <w:szCs w:val="24"/>
        </w:rPr>
        <w:t>8.04</w:t>
      </w:r>
      <w:r w:rsidR="00A041E3" w:rsidRPr="003B3DCD">
        <w:rPr>
          <w:rFonts w:ascii="Times New Roman" w:hAnsi="Times New Roman"/>
          <w:b/>
          <w:sz w:val="24"/>
          <w:szCs w:val="24"/>
        </w:rPr>
        <w:t>.2022</w:t>
      </w:r>
      <w:r w:rsidR="007C6F97">
        <w:rPr>
          <w:rFonts w:ascii="Times New Roman" w:hAnsi="Times New Roman"/>
          <w:b/>
          <w:sz w:val="24"/>
          <w:szCs w:val="24"/>
        </w:rPr>
        <w:t xml:space="preserve"> </w:t>
      </w:r>
      <w:r w:rsidR="00A041E3" w:rsidRPr="003B3DCD">
        <w:rPr>
          <w:rFonts w:ascii="Times New Roman" w:hAnsi="Times New Roman"/>
          <w:b/>
          <w:sz w:val="24"/>
          <w:szCs w:val="24"/>
        </w:rPr>
        <w:t>r.</w:t>
      </w:r>
      <w:r w:rsidR="007C6F97">
        <w:rPr>
          <w:rFonts w:ascii="Times New Roman" w:hAnsi="Times New Roman"/>
          <w:sz w:val="24"/>
          <w:szCs w:val="24"/>
        </w:rPr>
        <w:t xml:space="preserve"> </w:t>
      </w:r>
      <w:r w:rsidR="00A041E3" w:rsidRPr="003B3DCD">
        <w:rPr>
          <w:rFonts w:ascii="Times New Roman" w:hAnsi="Times New Roman"/>
          <w:sz w:val="24"/>
          <w:szCs w:val="24"/>
        </w:rPr>
        <w:t xml:space="preserve">(w wymiarze 1 dnia roboczego) </w:t>
      </w:r>
      <w:r w:rsidR="007C3A8C" w:rsidRPr="003B3DCD">
        <w:rPr>
          <w:rFonts w:ascii="Times New Roman" w:hAnsi="Times New Roman"/>
          <w:sz w:val="24"/>
          <w:szCs w:val="24"/>
        </w:rPr>
        <w:t xml:space="preserve">po </w:t>
      </w:r>
      <w:r w:rsidR="007144FA" w:rsidRPr="007C6F97">
        <w:rPr>
          <w:rFonts w:ascii="Times New Roman" w:hAnsi="Times New Roman"/>
          <w:b/>
          <w:sz w:val="24"/>
          <w:szCs w:val="24"/>
        </w:rPr>
        <w:t>15</w:t>
      </w:r>
      <w:r w:rsidR="007C3A8C" w:rsidRPr="007C6F97">
        <w:rPr>
          <w:rFonts w:ascii="Times New Roman" w:hAnsi="Times New Roman"/>
          <w:b/>
          <w:sz w:val="24"/>
          <w:szCs w:val="24"/>
        </w:rPr>
        <w:t xml:space="preserve"> zjeździe aplikacji </w:t>
      </w:r>
      <w:r w:rsidR="00A041E3" w:rsidRPr="007C6F97">
        <w:rPr>
          <w:rFonts w:ascii="Times New Roman" w:hAnsi="Times New Roman"/>
          <w:b/>
          <w:sz w:val="24"/>
          <w:szCs w:val="24"/>
        </w:rPr>
        <w:t xml:space="preserve">uzupełniającej </w:t>
      </w:r>
      <w:r w:rsidR="007C3A8C" w:rsidRPr="007C6F97">
        <w:rPr>
          <w:rFonts w:ascii="Times New Roman" w:hAnsi="Times New Roman"/>
          <w:b/>
          <w:sz w:val="24"/>
          <w:szCs w:val="24"/>
        </w:rPr>
        <w:t>sędziowskiej</w:t>
      </w:r>
      <w:r w:rsidR="007C3A8C" w:rsidRPr="003B3DCD">
        <w:rPr>
          <w:rFonts w:ascii="Times New Roman" w:hAnsi="Times New Roman"/>
          <w:sz w:val="24"/>
          <w:szCs w:val="24"/>
        </w:rPr>
        <w:t xml:space="preserve">, który </w:t>
      </w:r>
      <w:r w:rsidRPr="003B3DCD">
        <w:rPr>
          <w:rFonts w:ascii="Times New Roman" w:hAnsi="Times New Roman"/>
          <w:sz w:val="24"/>
          <w:szCs w:val="24"/>
        </w:rPr>
        <w:t>odbywa</w:t>
      </w:r>
      <w:r w:rsidR="00B732B5" w:rsidRPr="003B3DCD">
        <w:rPr>
          <w:rFonts w:ascii="Times New Roman" w:hAnsi="Times New Roman"/>
          <w:sz w:val="24"/>
          <w:szCs w:val="24"/>
        </w:rPr>
        <w:t xml:space="preserve"> się</w:t>
      </w:r>
      <w:r w:rsidR="007C3A8C" w:rsidRPr="003B3DCD">
        <w:rPr>
          <w:rFonts w:ascii="Times New Roman" w:hAnsi="Times New Roman"/>
          <w:sz w:val="24"/>
          <w:szCs w:val="24"/>
        </w:rPr>
        <w:t xml:space="preserve"> </w:t>
      </w:r>
      <w:r w:rsidRPr="003B3DCD">
        <w:rPr>
          <w:rFonts w:ascii="Times New Roman" w:hAnsi="Times New Roman"/>
          <w:sz w:val="24"/>
          <w:szCs w:val="24"/>
        </w:rPr>
        <w:t>od</w:t>
      </w:r>
      <w:r w:rsidR="007C3A8C" w:rsidRPr="003B3DCD">
        <w:rPr>
          <w:rFonts w:ascii="Times New Roman" w:hAnsi="Times New Roman"/>
          <w:sz w:val="24"/>
          <w:szCs w:val="24"/>
        </w:rPr>
        <w:t xml:space="preserve"> </w:t>
      </w:r>
      <w:r w:rsidR="007144FA" w:rsidRPr="003B3DCD">
        <w:rPr>
          <w:rFonts w:ascii="Times New Roman" w:hAnsi="Times New Roman"/>
          <w:sz w:val="24"/>
          <w:szCs w:val="24"/>
        </w:rPr>
        <w:t>26</w:t>
      </w:r>
      <w:r w:rsidRPr="003B3DCD">
        <w:rPr>
          <w:rFonts w:ascii="Times New Roman" w:hAnsi="Times New Roman"/>
          <w:sz w:val="24"/>
          <w:szCs w:val="24"/>
        </w:rPr>
        <w:t xml:space="preserve"> do </w:t>
      </w:r>
      <w:r w:rsidR="007144FA" w:rsidRPr="003B3DCD">
        <w:rPr>
          <w:rFonts w:ascii="Times New Roman" w:hAnsi="Times New Roman"/>
          <w:sz w:val="24"/>
          <w:szCs w:val="24"/>
        </w:rPr>
        <w:t>27</w:t>
      </w:r>
      <w:r w:rsidR="00EF023F" w:rsidRPr="003B3DCD">
        <w:rPr>
          <w:rFonts w:ascii="Times New Roman" w:hAnsi="Times New Roman"/>
          <w:sz w:val="24"/>
          <w:szCs w:val="24"/>
        </w:rPr>
        <w:t>.03</w:t>
      </w:r>
      <w:r w:rsidR="00A041E3" w:rsidRPr="003B3DCD">
        <w:rPr>
          <w:rFonts w:ascii="Times New Roman" w:hAnsi="Times New Roman"/>
          <w:sz w:val="24"/>
          <w:szCs w:val="24"/>
        </w:rPr>
        <w:t>.2022</w:t>
      </w:r>
      <w:r w:rsidRPr="003B3DCD">
        <w:rPr>
          <w:rFonts w:ascii="Times New Roman" w:hAnsi="Times New Roman"/>
          <w:sz w:val="24"/>
          <w:szCs w:val="24"/>
        </w:rPr>
        <w:t xml:space="preserve"> r. </w:t>
      </w:r>
    </w:p>
    <w:p w14:paraId="58A1E9E3" w14:textId="756554EE" w:rsidR="007C3A8C" w:rsidRPr="003B3DCD" w:rsidRDefault="007C3A8C" w:rsidP="007C6F97">
      <w:pPr>
        <w:spacing w:after="0" w:line="240" w:lineRule="auto"/>
        <w:ind w:firstLine="708"/>
        <w:jc w:val="both"/>
        <w:rPr>
          <w:rFonts w:ascii="Times New Roman" w:hAnsi="Times New Roman"/>
          <w:sz w:val="24"/>
          <w:szCs w:val="24"/>
        </w:rPr>
      </w:pPr>
      <w:r w:rsidRPr="003B3DCD">
        <w:rPr>
          <w:rFonts w:ascii="Times New Roman" w:hAnsi="Times New Roman"/>
          <w:sz w:val="24"/>
          <w:szCs w:val="24"/>
        </w:rPr>
        <w:t>Założeniem praktyki, co do zasady, jest zaznajomienie aplikantów</w:t>
      </w:r>
      <w:r w:rsidR="003627B3" w:rsidRPr="003B3DCD">
        <w:rPr>
          <w:rFonts w:ascii="Times New Roman" w:hAnsi="Times New Roman"/>
          <w:sz w:val="24"/>
          <w:szCs w:val="24"/>
        </w:rPr>
        <w:t xml:space="preserve"> z czynnościami i </w:t>
      </w:r>
      <w:r w:rsidRPr="003B3DCD">
        <w:rPr>
          <w:rFonts w:ascii="Times New Roman" w:hAnsi="Times New Roman"/>
          <w:sz w:val="24"/>
          <w:szCs w:val="24"/>
        </w:rPr>
        <w:t xml:space="preserve">metodyką pracy sędziego oraz doskonalenie umiejętności wykorzystania wiedzy teoretycznej i znajomości orzecznictwa przy sporządzaniu projektów orzeczeń, zarządzeń i pism procesowych, a także poprzez uczestniczenie w czynnościach podejmowanych przez patrona praktyki. Praktyka winna utrwalać wiedzę zdobytą przez aplikanta podczas poprzedzających ją zajęć seminaryjnych w ramach zjazdu. </w:t>
      </w:r>
    </w:p>
    <w:p w14:paraId="23B1FBE3" w14:textId="237C142A" w:rsidR="00C96523" w:rsidRPr="003B3DCD" w:rsidRDefault="007C3A8C" w:rsidP="007C6F97">
      <w:pPr>
        <w:spacing w:after="0" w:line="240" w:lineRule="auto"/>
        <w:ind w:firstLine="708"/>
        <w:jc w:val="both"/>
        <w:rPr>
          <w:rFonts w:ascii="Times New Roman" w:hAnsi="Times New Roman"/>
          <w:sz w:val="24"/>
          <w:szCs w:val="24"/>
        </w:rPr>
      </w:pPr>
      <w:r w:rsidRPr="003B3DCD">
        <w:rPr>
          <w:rFonts w:ascii="Times New Roman" w:hAnsi="Times New Roman"/>
          <w:sz w:val="24"/>
          <w:szCs w:val="24"/>
        </w:rPr>
        <w:t xml:space="preserve">Zgodnie z programem aplikacji </w:t>
      </w:r>
      <w:r w:rsidR="0047266C" w:rsidRPr="003B3DCD">
        <w:rPr>
          <w:rFonts w:ascii="Times New Roman" w:hAnsi="Times New Roman"/>
          <w:sz w:val="24"/>
          <w:szCs w:val="24"/>
        </w:rPr>
        <w:t>uzupełniającej</w:t>
      </w:r>
      <w:r w:rsidR="00A041E3" w:rsidRPr="003B3DCD">
        <w:rPr>
          <w:rFonts w:ascii="Times New Roman" w:hAnsi="Times New Roman"/>
          <w:sz w:val="24"/>
          <w:szCs w:val="24"/>
        </w:rPr>
        <w:t xml:space="preserve"> sędziowskiej</w:t>
      </w:r>
      <w:r w:rsidR="00374436" w:rsidRPr="003B3DCD">
        <w:rPr>
          <w:rFonts w:ascii="Times New Roman" w:hAnsi="Times New Roman"/>
          <w:sz w:val="24"/>
          <w:szCs w:val="24"/>
        </w:rPr>
        <w:t xml:space="preserve">, </w:t>
      </w:r>
      <w:r w:rsidR="00C32AE5" w:rsidRPr="003B3DCD">
        <w:rPr>
          <w:rFonts w:ascii="Times New Roman" w:hAnsi="Times New Roman"/>
          <w:sz w:val="24"/>
          <w:szCs w:val="24"/>
        </w:rPr>
        <w:t>tematyka</w:t>
      </w:r>
      <w:r w:rsidR="00374436" w:rsidRPr="003B3DCD">
        <w:rPr>
          <w:rFonts w:ascii="Times New Roman" w:hAnsi="Times New Roman"/>
          <w:sz w:val="24"/>
          <w:szCs w:val="24"/>
        </w:rPr>
        <w:t xml:space="preserve"> </w:t>
      </w:r>
      <w:r w:rsidR="007144FA" w:rsidRPr="003B3DCD">
        <w:rPr>
          <w:rFonts w:ascii="Times New Roman" w:hAnsi="Times New Roman"/>
          <w:sz w:val="24"/>
          <w:szCs w:val="24"/>
        </w:rPr>
        <w:t>15</w:t>
      </w:r>
      <w:r w:rsidRPr="003B3DCD">
        <w:rPr>
          <w:rFonts w:ascii="Times New Roman" w:hAnsi="Times New Roman"/>
          <w:sz w:val="24"/>
          <w:szCs w:val="24"/>
        </w:rPr>
        <w:t xml:space="preserve"> zjazdu </w:t>
      </w:r>
      <w:r w:rsidR="00C32AE5" w:rsidRPr="003B3DCD">
        <w:rPr>
          <w:rFonts w:ascii="Times New Roman" w:hAnsi="Times New Roman"/>
          <w:sz w:val="24"/>
          <w:szCs w:val="24"/>
        </w:rPr>
        <w:t>obejmuje zagadnienia</w:t>
      </w:r>
      <w:r w:rsidR="003B3DCD">
        <w:rPr>
          <w:rFonts w:ascii="Times New Roman" w:hAnsi="Times New Roman"/>
          <w:sz w:val="24"/>
          <w:szCs w:val="24"/>
        </w:rPr>
        <w:t xml:space="preserve"> związane z</w:t>
      </w:r>
      <w:r w:rsidR="00C32AE5" w:rsidRPr="003B3DCD">
        <w:rPr>
          <w:rFonts w:ascii="Times New Roman" w:hAnsi="Times New Roman"/>
          <w:sz w:val="24"/>
          <w:szCs w:val="24"/>
        </w:rPr>
        <w:t xml:space="preserve"> </w:t>
      </w:r>
      <w:r w:rsidR="003B3DCD">
        <w:rPr>
          <w:rFonts w:ascii="Times New Roman" w:hAnsi="Times New Roman"/>
          <w:sz w:val="24"/>
          <w:szCs w:val="24"/>
        </w:rPr>
        <w:t>czynnościami</w:t>
      </w:r>
      <w:r w:rsidR="007144FA" w:rsidRPr="003B3DCD">
        <w:rPr>
          <w:rFonts w:ascii="Times New Roman" w:hAnsi="Times New Roman"/>
          <w:sz w:val="24"/>
          <w:szCs w:val="24"/>
        </w:rPr>
        <w:t xml:space="preserve"> sądu i sędziego po skutecznym wniesieniu pozwu, przygotowanie do rozprawy</w:t>
      </w:r>
      <w:r w:rsidRPr="003B3DCD">
        <w:rPr>
          <w:rFonts w:ascii="Times New Roman" w:hAnsi="Times New Roman"/>
          <w:sz w:val="24"/>
          <w:szCs w:val="24"/>
        </w:rPr>
        <w:t xml:space="preserve">. Po zakończeniu zjazdu aplikanci mają odbyć </w:t>
      </w:r>
      <w:r w:rsidR="006B1A06" w:rsidRPr="003B3DCD">
        <w:rPr>
          <w:rFonts w:ascii="Times New Roman" w:hAnsi="Times New Roman"/>
          <w:sz w:val="24"/>
          <w:szCs w:val="24"/>
        </w:rPr>
        <w:t xml:space="preserve">praktykę </w:t>
      </w:r>
      <w:r w:rsidR="00D84572" w:rsidRPr="003B3DCD">
        <w:rPr>
          <w:rFonts w:ascii="Times New Roman" w:hAnsi="Times New Roman"/>
          <w:sz w:val="24"/>
          <w:szCs w:val="24"/>
        </w:rPr>
        <w:t xml:space="preserve">w sądzie </w:t>
      </w:r>
      <w:r w:rsidR="00D22A5C" w:rsidRPr="003B3DCD">
        <w:rPr>
          <w:rFonts w:ascii="Times New Roman" w:hAnsi="Times New Roman"/>
          <w:sz w:val="24"/>
          <w:szCs w:val="24"/>
        </w:rPr>
        <w:t>rejonowym</w:t>
      </w:r>
      <w:r w:rsidR="00C32AE5" w:rsidRPr="003B3DCD">
        <w:rPr>
          <w:rFonts w:ascii="Times New Roman" w:hAnsi="Times New Roman"/>
          <w:sz w:val="24"/>
          <w:szCs w:val="24"/>
        </w:rPr>
        <w:t>,</w:t>
      </w:r>
      <w:r w:rsidR="00D84572" w:rsidRPr="003B3DCD">
        <w:rPr>
          <w:rFonts w:ascii="Times New Roman" w:hAnsi="Times New Roman"/>
          <w:sz w:val="24"/>
          <w:szCs w:val="24"/>
        </w:rPr>
        <w:t xml:space="preserve"> </w:t>
      </w:r>
      <w:r w:rsidR="00B27341" w:rsidRPr="003B3DCD">
        <w:rPr>
          <w:rFonts w:ascii="Times New Roman" w:hAnsi="Times New Roman"/>
          <w:sz w:val="24"/>
          <w:szCs w:val="24"/>
        </w:rPr>
        <w:t>w</w:t>
      </w:r>
      <w:r w:rsidR="00D84572" w:rsidRPr="003B3DCD">
        <w:rPr>
          <w:rFonts w:ascii="Times New Roman" w:hAnsi="Times New Roman"/>
          <w:sz w:val="24"/>
          <w:szCs w:val="24"/>
        </w:rPr>
        <w:t xml:space="preserve"> wydzia</w:t>
      </w:r>
      <w:r w:rsidR="00B27341" w:rsidRPr="003B3DCD">
        <w:rPr>
          <w:rFonts w:ascii="Times New Roman" w:hAnsi="Times New Roman"/>
          <w:sz w:val="24"/>
          <w:szCs w:val="24"/>
        </w:rPr>
        <w:t>le</w:t>
      </w:r>
      <w:r w:rsidR="00D84572" w:rsidRPr="003B3DCD">
        <w:rPr>
          <w:rFonts w:ascii="Times New Roman" w:hAnsi="Times New Roman"/>
          <w:sz w:val="24"/>
          <w:szCs w:val="24"/>
        </w:rPr>
        <w:t xml:space="preserve"> </w:t>
      </w:r>
      <w:r w:rsidR="00A041E3" w:rsidRPr="003B3DCD">
        <w:rPr>
          <w:rFonts w:ascii="Times New Roman" w:hAnsi="Times New Roman"/>
          <w:sz w:val="24"/>
          <w:szCs w:val="24"/>
        </w:rPr>
        <w:t>cywilnym zajmującym się sprawami procesowymi.</w:t>
      </w:r>
    </w:p>
    <w:p w14:paraId="230166CA" w14:textId="77777777" w:rsidR="00C96523" w:rsidRPr="003B3DCD" w:rsidRDefault="00C96523" w:rsidP="007C6F97">
      <w:pPr>
        <w:spacing w:after="0" w:line="240" w:lineRule="auto"/>
        <w:ind w:firstLine="708"/>
        <w:jc w:val="both"/>
        <w:rPr>
          <w:rFonts w:ascii="Times New Roman" w:hAnsi="Times New Roman"/>
          <w:sz w:val="24"/>
          <w:szCs w:val="24"/>
        </w:rPr>
      </w:pPr>
    </w:p>
    <w:p w14:paraId="6B232004" w14:textId="37827AE9" w:rsidR="00687199" w:rsidRPr="003B3DCD" w:rsidRDefault="00687199" w:rsidP="007C6F97">
      <w:pPr>
        <w:spacing w:after="0" w:line="240" w:lineRule="auto"/>
        <w:ind w:firstLine="708"/>
        <w:jc w:val="both"/>
        <w:rPr>
          <w:rFonts w:ascii="Times New Roman" w:hAnsi="Times New Roman"/>
          <w:sz w:val="24"/>
          <w:szCs w:val="24"/>
        </w:rPr>
      </w:pPr>
      <w:r w:rsidRPr="003B3DCD">
        <w:rPr>
          <w:rFonts w:ascii="Times New Roman" w:hAnsi="Times New Roman"/>
          <w:sz w:val="24"/>
          <w:szCs w:val="24"/>
        </w:rPr>
        <w:t xml:space="preserve">Z uwagi na powyższe patron praktyki i patron koordynator przy pracy z aplikantami powinni szczególną uwagę poświęcić podstawowym zagadnieniom </w:t>
      </w:r>
      <w:r w:rsidRPr="003B3DCD">
        <w:rPr>
          <w:rFonts w:ascii="Times New Roman" w:hAnsi="Times New Roman"/>
          <w:b/>
          <w:sz w:val="24"/>
          <w:szCs w:val="24"/>
        </w:rPr>
        <w:t>prawa materialnego</w:t>
      </w:r>
      <w:r w:rsidRPr="003B3DCD">
        <w:rPr>
          <w:rFonts w:ascii="Times New Roman" w:hAnsi="Times New Roman"/>
          <w:sz w:val="24"/>
          <w:szCs w:val="24"/>
        </w:rPr>
        <w:t xml:space="preserve">, takim jak: </w:t>
      </w:r>
    </w:p>
    <w:p w14:paraId="550BC353" w14:textId="233F793C" w:rsidR="007F3E6F" w:rsidRPr="007C6F97" w:rsidRDefault="007C6F97" w:rsidP="007C6F97">
      <w:pPr>
        <w:numPr>
          <w:ilvl w:val="0"/>
          <w:numId w:val="2"/>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prawidłowa kwalifikacja umów; </w:t>
      </w:r>
      <w:r w:rsidRPr="007C6F97">
        <w:rPr>
          <w:rFonts w:ascii="Times New Roman" w:hAnsi="Times New Roman"/>
          <w:sz w:val="24"/>
          <w:szCs w:val="24"/>
        </w:rPr>
        <w:t xml:space="preserve">umowa o dzieło; umowa zlecenia; </w:t>
      </w:r>
      <w:r w:rsidR="007F3E6F" w:rsidRPr="007C6F97">
        <w:rPr>
          <w:rFonts w:ascii="Times New Roman" w:hAnsi="Times New Roman"/>
          <w:sz w:val="24"/>
          <w:szCs w:val="24"/>
        </w:rPr>
        <w:t>umow</w:t>
      </w:r>
      <w:r>
        <w:rPr>
          <w:rFonts w:ascii="Times New Roman" w:hAnsi="Times New Roman"/>
          <w:sz w:val="24"/>
          <w:szCs w:val="24"/>
        </w:rPr>
        <w:t>a o świadczenie usług;</w:t>
      </w:r>
    </w:p>
    <w:p w14:paraId="3F512BC8" w14:textId="1F116293" w:rsidR="007F3E6F" w:rsidRPr="003B3DCD" w:rsidRDefault="007F3E6F" w:rsidP="007C6F97">
      <w:pPr>
        <w:numPr>
          <w:ilvl w:val="0"/>
          <w:numId w:val="2"/>
        </w:numPr>
        <w:spacing w:after="0" w:line="240" w:lineRule="auto"/>
        <w:jc w:val="both"/>
        <w:rPr>
          <w:rFonts w:ascii="Times New Roman" w:hAnsi="Times New Roman"/>
          <w:sz w:val="24"/>
          <w:szCs w:val="24"/>
        </w:rPr>
      </w:pPr>
      <w:r w:rsidRPr="003B3DCD">
        <w:rPr>
          <w:rFonts w:ascii="Times New Roman" w:hAnsi="Times New Roman"/>
          <w:sz w:val="24"/>
          <w:szCs w:val="24"/>
        </w:rPr>
        <w:t>wykładnia oświadczeń woli (przedmiot, zakres, cel wykładni, podmiot dokonujący wykładni, etapy i dyre</w:t>
      </w:r>
      <w:r w:rsidR="007C6F97">
        <w:rPr>
          <w:rFonts w:ascii="Times New Roman" w:hAnsi="Times New Roman"/>
          <w:sz w:val="24"/>
          <w:szCs w:val="24"/>
        </w:rPr>
        <w:t>ktywy wykładni oświadczeń woli);</w:t>
      </w:r>
    </w:p>
    <w:p w14:paraId="28096F53" w14:textId="774DB1E0" w:rsidR="007F3E6F" w:rsidRPr="003B3DCD" w:rsidRDefault="007F3E6F" w:rsidP="007C6F97">
      <w:pPr>
        <w:numPr>
          <w:ilvl w:val="0"/>
          <w:numId w:val="2"/>
        </w:numPr>
        <w:spacing w:after="0" w:line="240" w:lineRule="auto"/>
        <w:jc w:val="both"/>
        <w:rPr>
          <w:rFonts w:ascii="Times New Roman" w:hAnsi="Times New Roman"/>
          <w:sz w:val="24"/>
          <w:szCs w:val="24"/>
        </w:rPr>
      </w:pPr>
      <w:r w:rsidRPr="003B3DCD">
        <w:rPr>
          <w:rFonts w:ascii="Times New Roman" w:hAnsi="Times New Roman"/>
          <w:sz w:val="24"/>
          <w:szCs w:val="24"/>
        </w:rPr>
        <w:t>rodzaje i zasady odpowiedzialności odszkodowawczej, rodza</w:t>
      </w:r>
      <w:r w:rsidR="007C6F97">
        <w:rPr>
          <w:rFonts w:ascii="Times New Roman" w:hAnsi="Times New Roman"/>
          <w:sz w:val="24"/>
          <w:szCs w:val="24"/>
        </w:rPr>
        <w:t>je szkody, związek przyczynowy;</w:t>
      </w:r>
    </w:p>
    <w:p w14:paraId="1F0F9534" w14:textId="310EFC4F" w:rsidR="007F3E6F" w:rsidRPr="007C6F97" w:rsidRDefault="007F3E6F" w:rsidP="007C6F97">
      <w:pPr>
        <w:numPr>
          <w:ilvl w:val="0"/>
          <w:numId w:val="2"/>
        </w:numPr>
        <w:spacing w:after="0" w:line="240" w:lineRule="auto"/>
        <w:jc w:val="both"/>
        <w:rPr>
          <w:rFonts w:ascii="Times New Roman" w:hAnsi="Times New Roman"/>
          <w:sz w:val="24"/>
          <w:szCs w:val="24"/>
        </w:rPr>
      </w:pPr>
      <w:r w:rsidRPr="003B3DCD">
        <w:rPr>
          <w:rFonts w:ascii="Times New Roman" w:hAnsi="Times New Roman"/>
          <w:sz w:val="24"/>
          <w:szCs w:val="24"/>
        </w:rPr>
        <w:t>odstąpie</w:t>
      </w:r>
      <w:r w:rsidR="007C6F97">
        <w:rPr>
          <w:rFonts w:ascii="Times New Roman" w:hAnsi="Times New Roman"/>
          <w:sz w:val="24"/>
          <w:szCs w:val="24"/>
        </w:rPr>
        <w:t>nie od umowy; kara umowna; zadatek;</w:t>
      </w:r>
    </w:p>
    <w:p w14:paraId="0D2FB74C" w14:textId="2BB8E251" w:rsidR="007F3E6F" w:rsidRPr="007C6F97" w:rsidRDefault="007C6F97" w:rsidP="007C6F97">
      <w:pPr>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zarzuty materialnoprawne; </w:t>
      </w:r>
      <w:r w:rsidR="007F3E6F" w:rsidRPr="007C6F97">
        <w:rPr>
          <w:rFonts w:ascii="Times New Roman" w:hAnsi="Times New Roman"/>
          <w:sz w:val="24"/>
          <w:szCs w:val="24"/>
        </w:rPr>
        <w:t>potrącenie (przesłanki, skutki, sposób skutecz</w:t>
      </w:r>
      <w:r>
        <w:rPr>
          <w:rFonts w:ascii="Times New Roman" w:hAnsi="Times New Roman"/>
          <w:sz w:val="24"/>
          <w:szCs w:val="24"/>
        </w:rPr>
        <w:t>nego potrącenia wierzytelności);</w:t>
      </w:r>
    </w:p>
    <w:p w14:paraId="7A97892A" w14:textId="2350ED3B" w:rsidR="007F3E6F" w:rsidRPr="003B3DCD" w:rsidRDefault="007F3E6F" w:rsidP="007C6F97">
      <w:pPr>
        <w:numPr>
          <w:ilvl w:val="0"/>
          <w:numId w:val="2"/>
        </w:numPr>
        <w:spacing w:after="0" w:line="240" w:lineRule="auto"/>
        <w:jc w:val="both"/>
        <w:rPr>
          <w:rFonts w:ascii="Times New Roman" w:hAnsi="Times New Roman"/>
          <w:sz w:val="24"/>
          <w:szCs w:val="24"/>
        </w:rPr>
      </w:pPr>
      <w:r w:rsidRPr="003B3DCD">
        <w:rPr>
          <w:rFonts w:ascii="Times New Roman" w:hAnsi="Times New Roman"/>
          <w:sz w:val="24"/>
          <w:szCs w:val="24"/>
        </w:rPr>
        <w:t>warunek, termin (rodzaje, sposób</w:t>
      </w:r>
      <w:r w:rsidR="007C6F97">
        <w:rPr>
          <w:rFonts w:ascii="Times New Roman" w:hAnsi="Times New Roman"/>
          <w:sz w:val="24"/>
          <w:szCs w:val="24"/>
        </w:rPr>
        <w:t xml:space="preserve"> liczenia, dni wolne i soboty);</w:t>
      </w:r>
    </w:p>
    <w:p w14:paraId="155FB3B7" w14:textId="0A200889" w:rsidR="00687199" w:rsidRDefault="007F3E6F" w:rsidP="007C6F97">
      <w:pPr>
        <w:numPr>
          <w:ilvl w:val="0"/>
          <w:numId w:val="2"/>
        </w:numPr>
        <w:spacing w:after="0" w:line="240" w:lineRule="auto"/>
        <w:jc w:val="both"/>
        <w:rPr>
          <w:rFonts w:ascii="Times New Roman" w:hAnsi="Times New Roman"/>
          <w:sz w:val="24"/>
          <w:szCs w:val="24"/>
        </w:rPr>
      </w:pPr>
      <w:r w:rsidRPr="003B3DCD">
        <w:rPr>
          <w:rFonts w:ascii="Times New Roman" w:hAnsi="Times New Roman"/>
          <w:sz w:val="24"/>
          <w:szCs w:val="24"/>
        </w:rPr>
        <w:t>pojęcie zdarzeń prawnych, w szczególności zobowi</w:t>
      </w:r>
      <w:r w:rsidR="007C6F97">
        <w:rPr>
          <w:rFonts w:ascii="Times New Roman" w:hAnsi="Times New Roman"/>
          <w:sz w:val="24"/>
          <w:szCs w:val="24"/>
        </w:rPr>
        <w:t xml:space="preserve">ązania i ich rodzaje; </w:t>
      </w:r>
      <w:r w:rsidRPr="007C6F97">
        <w:rPr>
          <w:rFonts w:ascii="Times New Roman" w:hAnsi="Times New Roman"/>
          <w:sz w:val="24"/>
          <w:szCs w:val="24"/>
        </w:rPr>
        <w:t xml:space="preserve">pojęcie mienia: ruchomości, nieruchomości, </w:t>
      </w:r>
      <w:r w:rsidR="007C6F97" w:rsidRPr="007C6F97">
        <w:rPr>
          <w:rFonts w:ascii="Times New Roman" w:hAnsi="Times New Roman"/>
          <w:sz w:val="24"/>
          <w:szCs w:val="24"/>
        </w:rPr>
        <w:t>części składowe, przynależności;</w:t>
      </w:r>
      <w:r w:rsidR="007C6F97">
        <w:rPr>
          <w:rFonts w:ascii="Times New Roman" w:hAnsi="Times New Roman"/>
          <w:sz w:val="24"/>
          <w:szCs w:val="24"/>
        </w:rPr>
        <w:t xml:space="preserve"> </w:t>
      </w:r>
      <w:r w:rsidRPr="007C6F97">
        <w:rPr>
          <w:rFonts w:ascii="Times New Roman" w:hAnsi="Times New Roman"/>
          <w:sz w:val="24"/>
          <w:szCs w:val="24"/>
        </w:rPr>
        <w:t>pojęcie masy majątkowej: przedsiębiorstwo i przedsiębiorca, gospodarstwo rolne.</w:t>
      </w:r>
    </w:p>
    <w:p w14:paraId="09F438FA" w14:textId="77777777" w:rsidR="007C6F97" w:rsidRPr="007C6F97" w:rsidRDefault="007C6F97" w:rsidP="007C6F97">
      <w:pPr>
        <w:spacing w:after="0" w:line="240" w:lineRule="auto"/>
        <w:ind w:left="720"/>
        <w:jc w:val="both"/>
        <w:rPr>
          <w:rFonts w:ascii="Times New Roman" w:hAnsi="Times New Roman"/>
          <w:sz w:val="24"/>
          <w:szCs w:val="24"/>
        </w:rPr>
      </w:pPr>
    </w:p>
    <w:p w14:paraId="137E3C77" w14:textId="332ACAE6" w:rsidR="00687199" w:rsidRPr="003B3DCD" w:rsidRDefault="00687199" w:rsidP="007C6F97">
      <w:pPr>
        <w:spacing w:after="0" w:line="240" w:lineRule="auto"/>
        <w:ind w:firstLine="284"/>
        <w:jc w:val="both"/>
        <w:rPr>
          <w:rFonts w:ascii="Times New Roman" w:hAnsi="Times New Roman"/>
          <w:sz w:val="24"/>
          <w:szCs w:val="24"/>
        </w:rPr>
      </w:pPr>
      <w:r w:rsidRPr="003B3DCD">
        <w:rPr>
          <w:rFonts w:ascii="Times New Roman" w:hAnsi="Times New Roman"/>
          <w:sz w:val="24"/>
          <w:szCs w:val="24"/>
        </w:rPr>
        <w:t xml:space="preserve">    </w:t>
      </w:r>
      <w:r w:rsidR="007C6F97">
        <w:rPr>
          <w:rFonts w:ascii="Times New Roman" w:hAnsi="Times New Roman"/>
          <w:sz w:val="24"/>
          <w:szCs w:val="24"/>
        </w:rPr>
        <w:tab/>
      </w:r>
      <w:r w:rsidRPr="003B3DCD">
        <w:rPr>
          <w:rFonts w:ascii="Times New Roman" w:hAnsi="Times New Roman"/>
          <w:sz w:val="24"/>
          <w:szCs w:val="24"/>
        </w:rPr>
        <w:t xml:space="preserve">Nadto patron praktyki powinien przy pracy z aplikantami poświęcić uwagę  zagadnieniom </w:t>
      </w:r>
      <w:r w:rsidRPr="003B3DCD">
        <w:rPr>
          <w:rFonts w:ascii="Times New Roman" w:hAnsi="Times New Roman"/>
          <w:b/>
          <w:sz w:val="24"/>
          <w:szCs w:val="24"/>
        </w:rPr>
        <w:t>prawa procesowego</w:t>
      </w:r>
      <w:r w:rsidRPr="003B3DCD">
        <w:rPr>
          <w:rFonts w:ascii="Times New Roman" w:hAnsi="Times New Roman"/>
          <w:sz w:val="24"/>
          <w:szCs w:val="24"/>
        </w:rPr>
        <w:t xml:space="preserve">, takim jak: </w:t>
      </w:r>
    </w:p>
    <w:p w14:paraId="437CB0E0" w14:textId="58854FB7" w:rsidR="007F3E6F" w:rsidRPr="007C6F97" w:rsidRDefault="007F3E6F" w:rsidP="007C6F97">
      <w:pPr>
        <w:numPr>
          <w:ilvl w:val="0"/>
          <w:numId w:val="3"/>
        </w:numPr>
        <w:spacing w:after="0" w:line="240" w:lineRule="auto"/>
        <w:ind w:left="714" w:hanging="357"/>
        <w:jc w:val="both"/>
        <w:rPr>
          <w:rFonts w:ascii="Times New Roman" w:eastAsia="Times New Roman" w:hAnsi="Times New Roman"/>
          <w:sz w:val="24"/>
          <w:szCs w:val="24"/>
        </w:rPr>
      </w:pPr>
      <w:r w:rsidRPr="003B3DCD">
        <w:rPr>
          <w:rFonts w:ascii="Times New Roman" w:hAnsi="Times New Roman"/>
          <w:sz w:val="24"/>
          <w:szCs w:val="24"/>
        </w:rPr>
        <w:t>organizacja postępowania – posiedzenie przygotowawcze</w:t>
      </w:r>
      <w:r w:rsidR="003B3DCD">
        <w:rPr>
          <w:rFonts w:ascii="Times New Roman" w:hAnsi="Times New Roman"/>
          <w:sz w:val="24"/>
          <w:szCs w:val="24"/>
        </w:rPr>
        <w:t xml:space="preserve"> i plan rozprawy – art. 205</w:t>
      </w:r>
      <w:r w:rsidR="003B3DCD">
        <w:rPr>
          <w:rFonts w:ascii="Times New Roman" w:hAnsi="Times New Roman"/>
          <w:sz w:val="24"/>
          <w:szCs w:val="24"/>
          <w:vertAlign w:val="superscript"/>
        </w:rPr>
        <w:t>1</w:t>
      </w:r>
      <w:r w:rsidR="003B3DCD">
        <w:rPr>
          <w:rFonts w:ascii="Times New Roman" w:hAnsi="Times New Roman"/>
          <w:sz w:val="24"/>
          <w:szCs w:val="24"/>
        </w:rPr>
        <w:t xml:space="preserve"> </w:t>
      </w:r>
      <w:r w:rsidR="003B3DCD">
        <w:rPr>
          <w:rFonts w:ascii="Times New Roman" w:hAnsi="Times New Roman"/>
          <w:sz w:val="24"/>
          <w:szCs w:val="24"/>
        </w:rPr>
        <w:br/>
        <w:t>i następne</w:t>
      </w:r>
      <w:r w:rsidR="007C6F97">
        <w:rPr>
          <w:rFonts w:ascii="Times New Roman" w:hAnsi="Times New Roman"/>
          <w:sz w:val="24"/>
          <w:szCs w:val="24"/>
        </w:rPr>
        <w:t xml:space="preserve"> </w:t>
      </w:r>
      <w:proofErr w:type="spellStart"/>
      <w:r w:rsidR="007C6F97">
        <w:rPr>
          <w:rFonts w:ascii="Times New Roman" w:hAnsi="Times New Roman"/>
          <w:sz w:val="24"/>
          <w:szCs w:val="24"/>
        </w:rPr>
        <w:t>kpc</w:t>
      </w:r>
      <w:proofErr w:type="spellEnd"/>
      <w:r w:rsidR="007C6F97">
        <w:rPr>
          <w:rFonts w:ascii="Times New Roman" w:hAnsi="Times New Roman"/>
          <w:sz w:val="24"/>
          <w:szCs w:val="24"/>
        </w:rPr>
        <w:t xml:space="preserve">; </w:t>
      </w:r>
      <w:r w:rsidRPr="007C6F97">
        <w:rPr>
          <w:rFonts w:ascii="Times New Roman" w:hAnsi="Times New Roman"/>
          <w:sz w:val="24"/>
          <w:szCs w:val="24"/>
        </w:rPr>
        <w:t>wydawanie zarządze</w:t>
      </w:r>
      <w:r w:rsidR="007C6F97">
        <w:rPr>
          <w:rFonts w:ascii="Times New Roman" w:hAnsi="Times New Roman"/>
          <w:sz w:val="24"/>
          <w:szCs w:val="24"/>
        </w:rPr>
        <w:t>ń na podstawie art. 208 k.p.c.;</w:t>
      </w:r>
    </w:p>
    <w:p w14:paraId="219A5C57" w14:textId="0DBD5B42" w:rsidR="007F3E6F" w:rsidRPr="003B3DCD" w:rsidRDefault="007F3E6F" w:rsidP="007C6F97">
      <w:pPr>
        <w:numPr>
          <w:ilvl w:val="0"/>
          <w:numId w:val="3"/>
        </w:numPr>
        <w:spacing w:after="0" w:line="240" w:lineRule="auto"/>
        <w:ind w:left="714" w:hanging="357"/>
        <w:jc w:val="both"/>
        <w:rPr>
          <w:rFonts w:ascii="Times New Roman" w:hAnsi="Times New Roman"/>
          <w:sz w:val="24"/>
          <w:szCs w:val="24"/>
        </w:rPr>
      </w:pPr>
      <w:r w:rsidRPr="003B3DCD">
        <w:rPr>
          <w:rFonts w:ascii="Times New Roman" w:hAnsi="Times New Roman"/>
          <w:sz w:val="24"/>
          <w:szCs w:val="24"/>
        </w:rPr>
        <w:t>odpowiedź na pozew – charakter procesowy pism, przesłanki dopuszczalności złożenia odpowiedzi na pozew, obowiązkowa odpowiedź na pozew, termin</w:t>
      </w:r>
      <w:r w:rsidR="007C6F97">
        <w:rPr>
          <w:rFonts w:ascii="Times New Roman" w:hAnsi="Times New Roman"/>
          <w:sz w:val="24"/>
          <w:szCs w:val="24"/>
        </w:rPr>
        <w:t xml:space="preserve"> złożenia odpowiedzi na pozew;</w:t>
      </w:r>
    </w:p>
    <w:p w14:paraId="0941AEB8" w14:textId="543A3F04" w:rsidR="007F3E6F" w:rsidRPr="007C6F97" w:rsidRDefault="007F3E6F" w:rsidP="007C6F97">
      <w:pPr>
        <w:numPr>
          <w:ilvl w:val="0"/>
          <w:numId w:val="3"/>
        </w:numPr>
        <w:spacing w:after="0" w:line="240" w:lineRule="auto"/>
        <w:ind w:left="714" w:hanging="357"/>
        <w:jc w:val="both"/>
        <w:rPr>
          <w:rFonts w:ascii="Times New Roman" w:hAnsi="Times New Roman"/>
          <w:sz w:val="24"/>
          <w:szCs w:val="24"/>
        </w:rPr>
      </w:pPr>
      <w:r w:rsidRPr="003B3DCD">
        <w:rPr>
          <w:rFonts w:ascii="Times New Roman" w:hAnsi="Times New Roman"/>
          <w:sz w:val="24"/>
          <w:szCs w:val="24"/>
        </w:rPr>
        <w:t>pominięcie s</w:t>
      </w:r>
      <w:r w:rsidR="007C6F97">
        <w:rPr>
          <w:rFonts w:ascii="Times New Roman" w:hAnsi="Times New Roman"/>
          <w:sz w:val="24"/>
          <w:szCs w:val="24"/>
        </w:rPr>
        <w:t xml:space="preserve">późnionych twierdzeń i dowodów; </w:t>
      </w:r>
      <w:r w:rsidRPr="007C6F97">
        <w:rPr>
          <w:rFonts w:ascii="Times New Roman" w:hAnsi="Times New Roman"/>
          <w:sz w:val="24"/>
          <w:szCs w:val="24"/>
        </w:rPr>
        <w:t>wydawanie zarządzeń dowodowych przed</w:t>
      </w:r>
      <w:r w:rsidR="007C6F97">
        <w:rPr>
          <w:rFonts w:ascii="Times New Roman" w:hAnsi="Times New Roman"/>
          <w:sz w:val="24"/>
          <w:szCs w:val="24"/>
        </w:rPr>
        <w:t xml:space="preserve"> wyznaczeniem rozprawy; z</w:t>
      </w:r>
      <w:r w:rsidRPr="007C6F97">
        <w:rPr>
          <w:rFonts w:ascii="Times New Roman" w:hAnsi="Times New Roman"/>
          <w:sz w:val="24"/>
          <w:szCs w:val="24"/>
        </w:rPr>
        <w:t xml:space="preserve">arzuty procesowe, w tym zarzut potrącenia, przesłanki, skutki, sposób skutecznego </w:t>
      </w:r>
      <w:r w:rsidR="007C6F97">
        <w:rPr>
          <w:rFonts w:ascii="Times New Roman" w:hAnsi="Times New Roman"/>
          <w:sz w:val="24"/>
          <w:szCs w:val="24"/>
        </w:rPr>
        <w:t>podniesienia zarzutu potrącenia;</w:t>
      </w:r>
    </w:p>
    <w:p w14:paraId="089EB686" w14:textId="7BF02DC1" w:rsidR="007F3E6F" w:rsidRPr="007C6F97" w:rsidRDefault="007F3E6F" w:rsidP="007C6F97">
      <w:pPr>
        <w:numPr>
          <w:ilvl w:val="0"/>
          <w:numId w:val="3"/>
        </w:numPr>
        <w:spacing w:after="0" w:line="240" w:lineRule="auto"/>
        <w:ind w:left="714" w:hanging="357"/>
        <w:jc w:val="both"/>
        <w:rPr>
          <w:rFonts w:ascii="Times New Roman" w:hAnsi="Times New Roman"/>
          <w:sz w:val="24"/>
          <w:szCs w:val="24"/>
        </w:rPr>
      </w:pPr>
      <w:r w:rsidRPr="003B3DCD">
        <w:rPr>
          <w:rFonts w:ascii="Times New Roman" w:hAnsi="Times New Roman"/>
          <w:sz w:val="24"/>
          <w:szCs w:val="24"/>
        </w:rPr>
        <w:t>u</w:t>
      </w:r>
      <w:r w:rsidR="007C6F97">
        <w:rPr>
          <w:rFonts w:ascii="Times New Roman" w:hAnsi="Times New Roman"/>
          <w:sz w:val="24"/>
          <w:szCs w:val="24"/>
        </w:rPr>
        <w:t xml:space="preserve">znanie powództwa, forma, skutki; </w:t>
      </w:r>
      <w:r w:rsidRPr="007C6F97">
        <w:rPr>
          <w:rFonts w:ascii="Times New Roman" w:hAnsi="Times New Roman"/>
          <w:sz w:val="24"/>
          <w:szCs w:val="24"/>
        </w:rPr>
        <w:t xml:space="preserve">cofnięcie pozwu, zrzeczenie się roszczenia, </w:t>
      </w:r>
    </w:p>
    <w:p w14:paraId="4BCCE2EF" w14:textId="37852D3C" w:rsidR="007F3E6F" w:rsidRPr="003B3DCD" w:rsidRDefault="007F3E6F" w:rsidP="007C6F97">
      <w:pPr>
        <w:numPr>
          <w:ilvl w:val="0"/>
          <w:numId w:val="3"/>
        </w:numPr>
        <w:spacing w:after="0" w:line="240" w:lineRule="auto"/>
        <w:ind w:left="714" w:hanging="357"/>
        <w:jc w:val="both"/>
        <w:rPr>
          <w:rFonts w:ascii="Times New Roman" w:hAnsi="Times New Roman"/>
          <w:sz w:val="24"/>
          <w:szCs w:val="24"/>
        </w:rPr>
      </w:pPr>
      <w:r w:rsidRPr="003B3DCD">
        <w:rPr>
          <w:rFonts w:ascii="Times New Roman" w:hAnsi="Times New Roman"/>
          <w:sz w:val="24"/>
          <w:szCs w:val="24"/>
        </w:rPr>
        <w:t>zawieszenie postępowania z różnych p</w:t>
      </w:r>
      <w:r w:rsidR="007C6F97">
        <w:rPr>
          <w:rFonts w:ascii="Times New Roman" w:hAnsi="Times New Roman"/>
          <w:sz w:val="24"/>
          <w:szCs w:val="24"/>
        </w:rPr>
        <w:t>rzyczyn;</w:t>
      </w:r>
    </w:p>
    <w:p w14:paraId="0E2AC3C4" w14:textId="10848F51" w:rsidR="007F3E6F" w:rsidRPr="003B3DCD" w:rsidRDefault="007F3E6F" w:rsidP="007C6F97">
      <w:pPr>
        <w:numPr>
          <w:ilvl w:val="0"/>
          <w:numId w:val="3"/>
        </w:numPr>
        <w:spacing w:after="0" w:line="240" w:lineRule="auto"/>
        <w:ind w:left="714" w:hanging="357"/>
        <w:jc w:val="both"/>
        <w:rPr>
          <w:rFonts w:ascii="Times New Roman" w:hAnsi="Times New Roman"/>
          <w:sz w:val="24"/>
          <w:szCs w:val="24"/>
        </w:rPr>
      </w:pPr>
      <w:r w:rsidRPr="003B3DCD">
        <w:rPr>
          <w:rFonts w:ascii="Times New Roman" w:hAnsi="Times New Roman"/>
          <w:sz w:val="24"/>
          <w:szCs w:val="24"/>
        </w:rPr>
        <w:t>powództwo wzajemne, termin, przesłanki, skuteczność, modyfika</w:t>
      </w:r>
      <w:r w:rsidR="007C6F97">
        <w:rPr>
          <w:rFonts w:ascii="Times New Roman" w:hAnsi="Times New Roman"/>
          <w:sz w:val="24"/>
          <w:szCs w:val="24"/>
        </w:rPr>
        <w:t>cje w postępowaniach odrębnych;</w:t>
      </w:r>
    </w:p>
    <w:p w14:paraId="19A500FC" w14:textId="77777777" w:rsidR="007F3E6F" w:rsidRPr="003B3DCD" w:rsidRDefault="007F3E6F" w:rsidP="007C6F97">
      <w:pPr>
        <w:numPr>
          <w:ilvl w:val="0"/>
          <w:numId w:val="3"/>
        </w:numPr>
        <w:spacing w:after="0" w:line="240" w:lineRule="auto"/>
        <w:ind w:left="714" w:hanging="357"/>
        <w:jc w:val="both"/>
        <w:rPr>
          <w:rFonts w:ascii="Times New Roman" w:hAnsi="Times New Roman"/>
          <w:sz w:val="24"/>
          <w:szCs w:val="24"/>
        </w:rPr>
      </w:pPr>
      <w:r w:rsidRPr="003B3DCD">
        <w:rPr>
          <w:rFonts w:ascii="Times New Roman" w:hAnsi="Times New Roman"/>
          <w:sz w:val="24"/>
          <w:szCs w:val="24"/>
        </w:rPr>
        <w:t>doręczanie pism sądowych w obrocie międzynarodowym (w ramach UE i poza UE), odezwy dotyczące doręczeń zagranicznych.</w:t>
      </w:r>
    </w:p>
    <w:p w14:paraId="6625017B" w14:textId="77777777" w:rsidR="00687199" w:rsidRPr="003B3DCD" w:rsidRDefault="00687199" w:rsidP="007C6F97">
      <w:pPr>
        <w:spacing w:after="0" w:line="240" w:lineRule="auto"/>
        <w:jc w:val="both"/>
        <w:rPr>
          <w:rFonts w:ascii="Times New Roman" w:hAnsi="Times New Roman"/>
          <w:sz w:val="24"/>
          <w:szCs w:val="24"/>
        </w:rPr>
      </w:pPr>
    </w:p>
    <w:p w14:paraId="014BA1D4" w14:textId="77777777" w:rsidR="007F3E6F" w:rsidRPr="003B3DCD" w:rsidRDefault="00687199" w:rsidP="007C6F97">
      <w:pPr>
        <w:spacing w:after="0" w:line="240" w:lineRule="auto"/>
        <w:jc w:val="both"/>
        <w:rPr>
          <w:rFonts w:ascii="Times New Roman" w:eastAsia="Times New Roman" w:hAnsi="Times New Roman"/>
          <w:sz w:val="24"/>
          <w:szCs w:val="24"/>
        </w:rPr>
      </w:pPr>
      <w:r w:rsidRPr="003B3DCD">
        <w:rPr>
          <w:rFonts w:ascii="Times New Roman" w:hAnsi="Times New Roman"/>
          <w:sz w:val="24"/>
          <w:szCs w:val="24"/>
        </w:rPr>
        <w:t xml:space="preserve">       </w:t>
      </w:r>
      <w:r w:rsidR="007F3E6F" w:rsidRPr="003B3DCD">
        <w:rPr>
          <w:rFonts w:ascii="Times New Roman" w:hAnsi="Times New Roman"/>
          <w:sz w:val="24"/>
          <w:szCs w:val="24"/>
        </w:rPr>
        <w:t xml:space="preserve">       W trakcie praktyki należy zapoznać aplikantów ze sprawami, w których roszczenia wynikają </w:t>
      </w:r>
      <w:r w:rsidR="007F3E6F" w:rsidRPr="007C6F97">
        <w:rPr>
          <w:rFonts w:ascii="Times New Roman" w:hAnsi="Times New Roman"/>
          <w:b/>
          <w:sz w:val="24"/>
          <w:szCs w:val="24"/>
        </w:rPr>
        <w:t>z umów zobowiązujących</w:t>
      </w:r>
      <w:r w:rsidR="007F3E6F" w:rsidRPr="003B3DCD">
        <w:rPr>
          <w:rFonts w:ascii="Times New Roman" w:hAnsi="Times New Roman"/>
          <w:sz w:val="24"/>
          <w:szCs w:val="24"/>
        </w:rPr>
        <w:t>, ze szczególnym uwzględnieniem umów o dzieło, umów zlecenia, umów o świadczenie usług i odróżnienia tych umów od innych rodzajów umów zobowiązujących. W zakresie wyżej wymienionych kategorii spraw należy zapoznać aplikantów z przesłankami odpowiedzialności odszkodowawczej, w tym odpowiedzialności w oparciu o zastrzeżoną karę umowną, praktycznym zastosowaniem zasad ustalania wysokości szkody, miarkowania kary umownej, oceną roszczeń opartych na zastrzeżeniu zadatku, skutecznością zastrzeżenia zadatku, oceną dopuszczalności, przesłankami oraz prawidłowością odstąpienia od umowy, oceną skuteczności dokonania potrącenia, praktycznym zastosowaniem metod i dyrektyw wykładni oświadczeń woli.</w:t>
      </w:r>
    </w:p>
    <w:p w14:paraId="21A21F42" w14:textId="218CDF46" w:rsidR="00463B84" w:rsidRDefault="007F3E6F" w:rsidP="007C6F97">
      <w:pPr>
        <w:spacing w:after="0" w:line="240" w:lineRule="auto"/>
        <w:jc w:val="both"/>
        <w:rPr>
          <w:rFonts w:ascii="Times New Roman" w:hAnsi="Times New Roman"/>
          <w:sz w:val="24"/>
          <w:szCs w:val="24"/>
        </w:rPr>
      </w:pPr>
      <w:r w:rsidRPr="003B3DCD">
        <w:rPr>
          <w:rFonts w:ascii="Times New Roman" w:hAnsi="Times New Roman"/>
          <w:sz w:val="24"/>
          <w:szCs w:val="24"/>
        </w:rPr>
        <w:t xml:space="preserve">    </w:t>
      </w:r>
      <w:r w:rsidR="007C6F97">
        <w:rPr>
          <w:rFonts w:ascii="Times New Roman" w:hAnsi="Times New Roman"/>
          <w:sz w:val="24"/>
          <w:szCs w:val="24"/>
        </w:rPr>
        <w:tab/>
      </w:r>
      <w:r w:rsidRPr="003B3DCD">
        <w:rPr>
          <w:rFonts w:ascii="Times New Roman" w:hAnsi="Times New Roman"/>
          <w:sz w:val="24"/>
          <w:szCs w:val="24"/>
        </w:rPr>
        <w:t xml:space="preserve">W zakresie </w:t>
      </w:r>
      <w:r w:rsidRPr="007C6F97">
        <w:rPr>
          <w:rFonts w:ascii="Times New Roman" w:hAnsi="Times New Roman"/>
          <w:b/>
          <w:sz w:val="24"/>
          <w:szCs w:val="24"/>
        </w:rPr>
        <w:t>zagadnień procesowych</w:t>
      </w:r>
      <w:r w:rsidRPr="003B3DCD">
        <w:rPr>
          <w:rFonts w:ascii="Times New Roman" w:hAnsi="Times New Roman"/>
          <w:sz w:val="24"/>
          <w:szCs w:val="24"/>
        </w:rPr>
        <w:t xml:space="preserve"> aplikanci w trakcie praktyki powinni być przede wszystkim angażowani w czynności przewodniczącego (sędziego referenta) zmierzające do właściwego przygotowania posiedzenia przygotowawczego, planu rozprawy oraz samej rozprawy poprzez wydanie prawidłowych zarządzeń mających na celu wyłożenia przez strony swoich twierdzeń, zgłoszenia wniosków dowodowych, właściwej kumulacji materiału dowodowego ze szczególnym naciskiem na formułowanie zarządzeń w tym przedmiocie. Nadto należy angażować aplikantów w czynności, których celem jest ocena twierdzeń i wniosków dowodowych stron z punktu widzenia przepisów regulujących termin ich zgłaszania, ocena prawidłowego kwalifikowania zarzutów procesowych, ze szczególnym uwzględnieniem zarzutu potrącenia, prawidłowego nadania sprawie biegu w związku z zarzutami. Aplikanci  winni nauczyć się formułowania zarządzeń dowodowych wydawanych przez przewodniczącego przed wyznaczeniem rozprawy. Należy również zapoznawać aplikantów z aktami spraw, w których doszło do cofnięcia pozwu i aplikanci winni oceniać skuteczność cofnięcia pozwu oraz winni przygotowywać projekty postanowień lub zarządzeń w związku z cofnięciem pozwu. Dodatkowo należy zlecać aplikantom czynności w sprawach, w których doszło do uznania powództwa i w tym zakresie aplikanci winni dokonywać oceny </w:t>
      </w:r>
      <w:r w:rsidRPr="003B3DCD">
        <w:rPr>
          <w:rFonts w:ascii="Times New Roman" w:hAnsi="Times New Roman"/>
          <w:sz w:val="24"/>
          <w:szCs w:val="24"/>
        </w:rPr>
        <w:lastRenderedPageBreak/>
        <w:t>skuteczności tego uznania oraz przygotowywać projekty orzecze</w:t>
      </w:r>
      <w:r w:rsidR="007C6F97">
        <w:rPr>
          <w:rFonts w:ascii="Times New Roman" w:hAnsi="Times New Roman"/>
          <w:sz w:val="24"/>
          <w:szCs w:val="24"/>
        </w:rPr>
        <w:t>ń i zarządzeń z tym związanych.</w:t>
      </w:r>
    </w:p>
    <w:p w14:paraId="345E3375" w14:textId="77777777" w:rsidR="007C6F97" w:rsidRPr="003B3DCD" w:rsidRDefault="007C6F97" w:rsidP="007C6F97">
      <w:pPr>
        <w:spacing w:after="0" w:line="240" w:lineRule="auto"/>
        <w:jc w:val="both"/>
        <w:rPr>
          <w:rFonts w:ascii="Times New Roman" w:hAnsi="Times New Roman"/>
          <w:sz w:val="24"/>
          <w:szCs w:val="24"/>
        </w:rPr>
      </w:pPr>
    </w:p>
    <w:p w14:paraId="3501204B" w14:textId="626DE2FD" w:rsidR="00C6540D" w:rsidRPr="003B3DCD" w:rsidRDefault="00463B84" w:rsidP="007C6F97">
      <w:pPr>
        <w:spacing w:after="0" w:line="240" w:lineRule="auto"/>
        <w:ind w:firstLine="708"/>
        <w:jc w:val="both"/>
        <w:rPr>
          <w:rFonts w:ascii="Times New Roman" w:hAnsi="Times New Roman"/>
          <w:b/>
          <w:sz w:val="24"/>
          <w:szCs w:val="24"/>
          <w:u w:val="single"/>
        </w:rPr>
      </w:pPr>
      <w:r w:rsidRPr="003B3DCD">
        <w:rPr>
          <w:rFonts w:ascii="Times New Roman" w:hAnsi="Times New Roman"/>
          <w:b/>
          <w:sz w:val="24"/>
          <w:szCs w:val="24"/>
          <w:u w:val="single"/>
        </w:rPr>
        <w:t>W trakcie praktyki należy zlecić aplikantowi sporządzenie projektów następujących decyzji procesowych</w:t>
      </w:r>
      <w:r w:rsidR="00C6540D" w:rsidRPr="003B3DCD">
        <w:rPr>
          <w:rFonts w:ascii="Times New Roman" w:hAnsi="Times New Roman"/>
          <w:b/>
          <w:sz w:val="24"/>
          <w:szCs w:val="24"/>
          <w:u w:val="single"/>
        </w:rPr>
        <w:t xml:space="preserve"> (czynności obowiązkowe):</w:t>
      </w:r>
    </w:p>
    <w:p w14:paraId="2CA9EB17" w14:textId="77777777" w:rsidR="00463B84" w:rsidRPr="003B3DCD" w:rsidRDefault="00463B84" w:rsidP="007C6F97">
      <w:pPr>
        <w:spacing w:after="0" w:line="240" w:lineRule="auto"/>
        <w:jc w:val="both"/>
        <w:rPr>
          <w:rFonts w:ascii="Times New Roman" w:hAnsi="Times New Roman"/>
          <w:b/>
          <w:sz w:val="24"/>
          <w:szCs w:val="24"/>
          <w:u w:val="single"/>
        </w:rPr>
      </w:pPr>
    </w:p>
    <w:p w14:paraId="53617E7C" w14:textId="05C05E39" w:rsidR="00C20ED8" w:rsidRDefault="007C6F97" w:rsidP="007C6F97">
      <w:pPr>
        <w:pStyle w:val="Teksttreci60"/>
        <w:numPr>
          <w:ilvl w:val="0"/>
          <w:numId w:val="5"/>
        </w:numPr>
        <w:shd w:val="clear" w:color="auto" w:fill="auto"/>
        <w:tabs>
          <w:tab w:val="left" w:leader="dot" w:pos="3810"/>
        </w:tabs>
        <w:spacing w:line="240" w:lineRule="auto"/>
        <w:jc w:val="both"/>
        <w:rPr>
          <w:sz w:val="24"/>
          <w:szCs w:val="24"/>
        </w:rPr>
      </w:pPr>
      <w:r>
        <w:rPr>
          <w:sz w:val="24"/>
          <w:szCs w:val="24"/>
        </w:rPr>
        <w:t>zarządzenia na podstawie</w:t>
      </w:r>
      <w:r w:rsidR="003B3DCD" w:rsidRPr="003B3DCD">
        <w:rPr>
          <w:sz w:val="24"/>
          <w:szCs w:val="24"/>
        </w:rPr>
        <w:t xml:space="preserve"> art. 208</w:t>
      </w:r>
      <w:r>
        <w:rPr>
          <w:sz w:val="24"/>
          <w:szCs w:val="24"/>
        </w:rPr>
        <w:t xml:space="preserve"> k.p.c. w sprawach z wyżej wymienionej</w:t>
      </w:r>
      <w:r w:rsidR="003B3DCD" w:rsidRPr="003B3DCD">
        <w:rPr>
          <w:sz w:val="24"/>
          <w:szCs w:val="24"/>
        </w:rPr>
        <w:t xml:space="preserve"> tematyki;</w:t>
      </w:r>
    </w:p>
    <w:p w14:paraId="0021A377" w14:textId="2FA5D6EA" w:rsidR="00C20ED8" w:rsidRDefault="003B3DCD" w:rsidP="007C6F97">
      <w:pPr>
        <w:pStyle w:val="Teksttreci60"/>
        <w:numPr>
          <w:ilvl w:val="0"/>
          <w:numId w:val="5"/>
        </w:numPr>
        <w:shd w:val="clear" w:color="auto" w:fill="auto"/>
        <w:tabs>
          <w:tab w:val="left" w:leader="dot" w:pos="3810"/>
        </w:tabs>
        <w:spacing w:line="240" w:lineRule="auto"/>
        <w:jc w:val="both"/>
        <w:rPr>
          <w:sz w:val="24"/>
          <w:szCs w:val="24"/>
        </w:rPr>
      </w:pPr>
      <w:r w:rsidRPr="003B3DCD">
        <w:rPr>
          <w:sz w:val="24"/>
          <w:szCs w:val="24"/>
        </w:rPr>
        <w:t>zarządzenia dowodowego wydawanego przed rozpoczęciem rozprawy;</w:t>
      </w:r>
    </w:p>
    <w:p w14:paraId="25ED98D6" w14:textId="6DF4B829" w:rsidR="00BA4166" w:rsidRPr="00C20ED8" w:rsidRDefault="003B3DCD" w:rsidP="007C6F97">
      <w:pPr>
        <w:pStyle w:val="Teksttreci60"/>
        <w:numPr>
          <w:ilvl w:val="0"/>
          <w:numId w:val="5"/>
        </w:numPr>
        <w:shd w:val="clear" w:color="auto" w:fill="auto"/>
        <w:tabs>
          <w:tab w:val="left" w:leader="dot" w:pos="3810"/>
        </w:tabs>
        <w:spacing w:line="240" w:lineRule="auto"/>
        <w:jc w:val="both"/>
        <w:rPr>
          <w:sz w:val="24"/>
          <w:szCs w:val="24"/>
        </w:rPr>
      </w:pPr>
      <w:r w:rsidRPr="00C20ED8">
        <w:rPr>
          <w:sz w:val="24"/>
          <w:szCs w:val="24"/>
        </w:rPr>
        <w:t xml:space="preserve">postanowienia o umorzeniu postępowania na skutek cofnięcia pozwu w różnych </w:t>
      </w:r>
      <w:r w:rsidR="007C6F97">
        <w:rPr>
          <w:sz w:val="24"/>
          <w:szCs w:val="24"/>
        </w:rPr>
        <w:t>konfiguracjach</w:t>
      </w:r>
      <w:r w:rsidRPr="00C20ED8">
        <w:rPr>
          <w:sz w:val="24"/>
          <w:szCs w:val="24"/>
        </w:rPr>
        <w:t xml:space="preserve"> (przed rozpoczęciem rozprawy, po rozpoczęciu rozprawy, bez zrzeczenia się roszczenia, ze zrzeczeniem się roszczenia) wraz z rozstrzygnięciem co do kosztów postępowania i zarządzeniami wykonawczymi </w:t>
      </w:r>
      <w:r w:rsidR="007C6F97">
        <w:rPr>
          <w:sz w:val="24"/>
          <w:szCs w:val="24"/>
        </w:rPr>
        <w:t>oraz uzasadnieniem</w:t>
      </w:r>
      <w:r w:rsidRPr="00C20ED8">
        <w:rPr>
          <w:sz w:val="24"/>
          <w:szCs w:val="24"/>
        </w:rPr>
        <w:t>.</w:t>
      </w:r>
    </w:p>
    <w:p w14:paraId="5EB69FAC" w14:textId="77777777" w:rsidR="00BA4166" w:rsidRPr="003B3DCD" w:rsidRDefault="00BA4166" w:rsidP="007C6F97">
      <w:pPr>
        <w:pStyle w:val="Teksttreci60"/>
        <w:shd w:val="clear" w:color="auto" w:fill="auto"/>
        <w:spacing w:line="240" w:lineRule="auto"/>
        <w:ind w:left="80"/>
        <w:jc w:val="both"/>
        <w:rPr>
          <w:sz w:val="24"/>
          <w:szCs w:val="24"/>
        </w:rPr>
      </w:pPr>
    </w:p>
    <w:p w14:paraId="043884D0" w14:textId="584F9AFD" w:rsidR="00C6540D" w:rsidRPr="003B3DCD" w:rsidRDefault="00C6540D" w:rsidP="007C6F97">
      <w:pPr>
        <w:pStyle w:val="Teksttreci60"/>
        <w:shd w:val="clear" w:color="auto" w:fill="auto"/>
        <w:spacing w:line="240" w:lineRule="auto"/>
        <w:ind w:left="80" w:firstLine="628"/>
        <w:jc w:val="both"/>
        <w:rPr>
          <w:sz w:val="24"/>
          <w:szCs w:val="24"/>
        </w:rPr>
      </w:pPr>
      <w:r w:rsidRPr="003B3DCD">
        <w:rPr>
          <w:sz w:val="24"/>
          <w:szCs w:val="24"/>
        </w:rPr>
        <w:t xml:space="preserve">Dodatkowo </w:t>
      </w:r>
      <w:r w:rsidRPr="007C6F97">
        <w:rPr>
          <w:b/>
          <w:sz w:val="24"/>
          <w:szCs w:val="24"/>
        </w:rPr>
        <w:t>zaleca się</w:t>
      </w:r>
      <w:r w:rsidRPr="003B3DCD">
        <w:rPr>
          <w:sz w:val="24"/>
          <w:szCs w:val="24"/>
        </w:rPr>
        <w:t xml:space="preserve"> powierzenie aplikantowi </w:t>
      </w:r>
      <w:r w:rsidR="00A90B8C" w:rsidRPr="003B3DCD">
        <w:rPr>
          <w:sz w:val="24"/>
          <w:szCs w:val="24"/>
        </w:rPr>
        <w:t>sporządzenia następujących projektów decyzji procesowych</w:t>
      </w:r>
      <w:r w:rsidRPr="003B3DCD">
        <w:rPr>
          <w:sz w:val="24"/>
          <w:szCs w:val="24"/>
        </w:rPr>
        <w:t xml:space="preserve">: </w:t>
      </w:r>
    </w:p>
    <w:p w14:paraId="15AFF72C" w14:textId="77777777" w:rsidR="00D45EE8" w:rsidRPr="003B3DCD" w:rsidRDefault="00D45EE8" w:rsidP="007C6F97">
      <w:pPr>
        <w:pStyle w:val="Teksttreci60"/>
        <w:shd w:val="clear" w:color="auto" w:fill="auto"/>
        <w:tabs>
          <w:tab w:val="left" w:leader="dot" w:pos="3810"/>
        </w:tabs>
        <w:spacing w:line="240" w:lineRule="auto"/>
        <w:ind w:left="415"/>
        <w:jc w:val="both"/>
        <w:rPr>
          <w:sz w:val="24"/>
          <w:szCs w:val="24"/>
        </w:rPr>
      </w:pPr>
    </w:p>
    <w:p w14:paraId="0D86C588" w14:textId="248634E5" w:rsidR="003B3DCD" w:rsidRPr="003B3DCD" w:rsidRDefault="003B3DCD" w:rsidP="007C6F97">
      <w:pPr>
        <w:pStyle w:val="Teksttreci60"/>
        <w:numPr>
          <w:ilvl w:val="1"/>
          <w:numId w:val="1"/>
        </w:numPr>
        <w:shd w:val="clear" w:color="auto" w:fill="auto"/>
        <w:tabs>
          <w:tab w:val="left" w:leader="dot" w:pos="3810"/>
        </w:tabs>
        <w:spacing w:line="240" w:lineRule="auto"/>
        <w:ind w:left="709" w:hanging="425"/>
        <w:jc w:val="both"/>
        <w:rPr>
          <w:sz w:val="24"/>
          <w:szCs w:val="24"/>
        </w:rPr>
      </w:pPr>
      <w:r w:rsidRPr="003B3DCD">
        <w:rPr>
          <w:sz w:val="24"/>
          <w:szCs w:val="24"/>
        </w:rPr>
        <w:t>postanowień w trybie art. 205</w:t>
      </w:r>
      <w:r w:rsidRPr="003B3DCD">
        <w:rPr>
          <w:sz w:val="24"/>
          <w:szCs w:val="24"/>
          <w:vertAlign w:val="superscript"/>
        </w:rPr>
        <w:t>9</w:t>
      </w:r>
      <w:r w:rsidRPr="003B3DCD">
        <w:rPr>
          <w:sz w:val="24"/>
          <w:szCs w:val="24"/>
        </w:rPr>
        <w:t xml:space="preserve"> i 205</w:t>
      </w:r>
      <w:r w:rsidRPr="003B3DCD">
        <w:rPr>
          <w:sz w:val="24"/>
          <w:szCs w:val="24"/>
          <w:vertAlign w:val="superscript"/>
        </w:rPr>
        <w:t>11</w:t>
      </w:r>
      <w:r w:rsidRPr="003B3DCD">
        <w:rPr>
          <w:sz w:val="24"/>
          <w:szCs w:val="24"/>
        </w:rPr>
        <w:t xml:space="preserve"> </w:t>
      </w:r>
      <w:proofErr w:type="spellStart"/>
      <w:r w:rsidRPr="003B3DCD">
        <w:rPr>
          <w:sz w:val="24"/>
          <w:szCs w:val="24"/>
        </w:rPr>
        <w:t>kpc</w:t>
      </w:r>
      <w:proofErr w:type="spellEnd"/>
      <w:r w:rsidRPr="003B3DCD">
        <w:rPr>
          <w:sz w:val="24"/>
          <w:szCs w:val="24"/>
        </w:rPr>
        <w:t>;</w:t>
      </w:r>
    </w:p>
    <w:p w14:paraId="06549AA6" w14:textId="77777777" w:rsidR="003B3DCD" w:rsidRPr="003B3DCD" w:rsidRDefault="003B3DCD" w:rsidP="007C6F97">
      <w:pPr>
        <w:pStyle w:val="Teksttreci60"/>
        <w:numPr>
          <w:ilvl w:val="1"/>
          <w:numId w:val="1"/>
        </w:numPr>
        <w:shd w:val="clear" w:color="auto" w:fill="auto"/>
        <w:tabs>
          <w:tab w:val="left" w:leader="dot" w:pos="3810"/>
        </w:tabs>
        <w:spacing w:line="240" w:lineRule="auto"/>
        <w:ind w:left="709" w:hanging="425"/>
        <w:jc w:val="both"/>
        <w:rPr>
          <w:sz w:val="24"/>
          <w:szCs w:val="24"/>
        </w:rPr>
      </w:pPr>
      <w:r w:rsidRPr="003B3DCD">
        <w:rPr>
          <w:sz w:val="24"/>
          <w:szCs w:val="24"/>
        </w:rPr>
        <w:t>decyzji procesowej po wpłynięciu odpowiedzi na pozew;</w:t>
      </w:r>
    </w:p>
    <w:p w14:paraId="76BD742B" w14:textId="77777777" w:rsidR="003B3DCD" w:rsidRPr="003B3DCD" w:rsidRDefault="003B3DCD" w:rsidP="007C6F97">
      <w:pPr>
        <w:pStyle w:val="Teksttreci60"/>
        <w:numPr>
          <w:ilvl w:val="1"/>
          <w:numId w:val="1"/>
        </w:numPr>
        <w:shd w:val="clear" w:color="auto" w:fill="auto"/>
        <w:tabs>
          <w:tab w:val="left" w:leader="dot" w:pos="3810"/>
        </w:tabs>
        <w:spacing w:line="240" w:lineRule="auto"/>
        <w:ind w:left="709" w:hanging="425"/>
        <w:jc w:val="both"/>
        <w:rPr>
          <w:sz w:val="24"/>
          <w:szCs w:val="24"/>
        </w:rPr>
      </w:pPr>
      <w:r w:rsidRPr="003B3DCD">
        <w:rPr>
          <w:sz w:val="24"/>
          <w:szCs w:val="24"/>
        </w:rPr>
        <w:t>decyzji procesowej w przedmiocie pominięcia spóźnionych twierdzeń i dowodów oraz zgody na złożenie pisma przygotowawczego;</w:t>
      </w:r>
    </w:p>
    <w:p w14:paraId="5D1E99B8" w14:textId="261EDA70" w:rsidR="003B3DCD" w:rsidRPr="003B3DCD" w:rsidRDefault="003B3DCD" w:rsidP="007C6F97">
      <w:pPr>
        <w:pStyle w:val="Teksttreci60"/>
        <w:numPr>
          <w:ilvl w:val="1"/>
          <w:numId w:val="1"/>
        </w:numPr>
        <w:shd w:val="clear" w:color="auto" w:fill="auto"/>
        <w:tabs>
          <w:tab w:val="left" w:leader="dot" w:pos="3810"/>
        </w:tabs>
        <w:spacing w:line="240" w:lineRule="auto"/>
        <w:ind w:left="709" w:hanging="425"/>
        <w:jc w:val="both"/>
        <w:rPr>
          <w:sz w:val="24"/>
          <w:szCs w:val="24"/>
        </w:rPr>
      </w:pPr>
      <w:r w:rsidRPr="003B3DCD">
        <w:rPr>
          <w:sz w:val="24"/>
          <w:szCs w:val="24"/>
        </w:rPr>
        <w:t>decyzji rozstrzygającej zgłoszone zarzuty procesowe i materialne (wraz z projektem uzasadnienia);</w:t>
      </w:r>
    </w:p>
    <w:p w14:paraId="553258BA" w14:textId="4B58030C" w:rsidR="003B3DCD" w:rsidRPr="003B3DCD" w:rsidRDefault="003B3DCD" w:rsidP="007C6F97">
      <w:pPr>
        <w:pStyle w:val="Teksttreci60"/>
        <w:numPr>
          <w:ilvl w:val="1"/>
          <w:numId w:val="1"/>
        </w:numPr>
        <w:shd w:val="clear" w:color="auto" w:fill="auto"/>
        <w:tabs>
          <w:tab w:val="left" w:leader="dot" w:pos="3810"/>
        </w:tabs>
        <w:spacing w:line="240" w:lineRule="auto"/>
        <w:ind w:left="709" w:hanging="425"/>
        <w:jc w:val="both"/>
        <w:rPr>
          <w:sz w:val="24"/>
          <w:szCs w:val="24"/>
        </w:rPr>
      </w:pPr>
      <w:r w:rsidRPr="003B3DCD">
        <w:rPr>
          <w:sz w:val="24"/>
          <w:szCs w:val="24"/>
        </w:rPr>
        <w:t>postanowienia rozstrzygającego wniosek o zawieszenie postępowania z różnych przyczyn (wraz z projektem uzasadniania)  i zarządzeniami wykonawczymi;</w:t>
      </w:r>
    </w:p>
    <w:p w14:paraId="3C725418" w14:textId="7355870C" w:rsidR="003B3DCD" w:rsidRPr="003B3DCD" w:rsidRDefault="00D9411F" w:rsidP="007C6F97">
      <w:pPr>
        <w:pStyle w:val="Teksttreci60"/>
        <w:numPr>
          <w:ilvl w:val="1"/>
          <w:numId w:val="1"/>
        </w:numPr>
        <w:shd w:val="clear" w:color="auto" w:fill="auto"/>
        <w:tabs>
          <w:tab w:val="left" w:leader="dot" w:pos="3810"/>
        </w:tabs>
        <w:spacing w:line="240" w:lineRule="auto"/>
        <w:ind w:left="502" w:hanging="218"/>
        <w:jc w:val="both"/>
        <w:rPr>
          <w:sz w:val="24"/>
          <w:szCs w:val="24"/>
        </w:rPr>
      </w:pPr>
      <w:r>
        <w:rPr>
          <w:sz w:val="24"/>
          <w:szCs w:val="24"/>
        </w:rPr>
        <w:t xml:space="preserve">   </w:t>
      </w:r>
      <w:r w:rsidR="003B3DCD" w:rsidRPr="003B3DCD">
        <w:rPr>
          <w:sz w:val="24"/>
          <w:szCs w:val="24"/>
        </w:rPr>
        <w:t xml:space="preserve">wyroku w sprawach z </w:t>
      </w:r>
      <w:r w:rsidR="007C6F97">
        <w:rPr>
          <w:sz w:val="24"/>
          <w:szCs w:val="24"/>
        </w:rPr>
        <w:t>wyżej wymienionej</w:t>
      </w:r>
      <w:r w:rsidR="003B3DCD" w:rsidRPr="003B3DCD">
        <w:rPr>
          <w:sz w:val="24"/>
          <w:szCs w:val="24"/>
        </w:rPr>
        <w:t xml:space="preserve"> tematyki tj. roszczeń wynikających z umów </w:t>
      </w:r>
      <w:bookmarkStart w:id="0" w:name="_GoBack"/>
      <w:bookmarkEnd w:id="0"/>
      <w:r w:rsidR="003B3DCD" w:rsidRPr="003B3DCD">
        <w:rPr>
          <w:sz w:val="24"/>
          <w:szCs w:val="24"/>
        </w:rPr>
        <w:t>zobowiązujących i zarządzeniami wykonawczymi;</w:t>
      </w:r>
    </w:p>
    <w:p w14:paraId="6F7FB387" w14:textId="1CF8B3DA" w:rsidR="003B3DCD" w:rsidRPr="007C6F97" w:rsidRDefault="00D9411F" w:rsidP="007C6F97">
      <w:pPr>
        <w:pStyle w:val="Teksttreci60"/>
        <w:numPr>
          <w:ilvl w:val="1"/>
          <w:numId w:val="1"/>
        </w:numPr>
        <w:shd w:val="clear" w:color="auto" w:fill="auto"/>
        <w:tabs>
          <w:tab w:val="left" w:leader="dot" w:pos="3810"/>
        </w:tabs>
        <w:spacing w:line="240" w:lineRule="auto"/>
        <w:ind w:left="502" w:hanging="218"/>
        <w:jc w:val="both"/>
        <w:rPr>
          <w:sz w:val="24"/>
          <w:szCs w:val="24"/>
        </w:rPr>
      </w:pPr>
      <w:r>
        <w:rPr>
          <w:sz w:val="24"/>
          <w:szCs w:val="24"/>
        </w:rPr>
        <w:t xml:space="preserve">   </w:t>
      </w:r>
      <w:r w:rsidR="003B3DCD" w:rsidRPr="003B3DCD">
        <w:rPr>
          <w:sz w:val="24"/>
          <w:szCs w:val="24"/>
        </w:rPr>
        <w:t>odezwy o u</w:t>
      </w:r>
      <w:r w:rsidR="007C6F97">
        <w:rPr>
          <w:sz w:val="24"/>
          <w:szCs w:val="24"/>
        </w:rPr>
        <w:t xml:space="preserve">dzielenie pomocy sądowej według: </w:t>
      </w:r>
      <w:r w:rsidR="003B3DCD" w:rsidRPr="007C6F97">
        <w:rPr>
          <w:sz w:val="24"/>
          <w:szCs w:val="24"/>
        </w:rPr>
        <w:t>rozporządzeń UE,</w:t>
      </w:r>
      <w:r w:rsidR="007C6F97">
        <w:rPr>
          <w:sz w:val="24"/>
          <w:szCs w:val="24"/>
        </w:rPr>
        <w:t xml:space="preserve"> </w:t>
      </w:r>
      <w:r w:rsidR="003B3DCD" w:rsidRPr="007C6F97">
        <w:rPr>
          <w:sz w:val="24"/>
          <w:szCs w:val="24"/>
        </w:rPr>
        <w:t>konwencji</w:t>
      </w:r>
      <w:r w:rsidR="007C6F97">
        <w:rPr>
          <w:sz w:val="24"/>
          <w:szCs w:val="24"/>
        </w:rPr>
        <w:t xml:space="preserve"> haskiej, jednej z umów dwustronnych, </w:t>
      </w:r>
      <w:r w:rsidR="003B3DCD" w:rsidRPr="007C6F97">
        <w:rPr>
          <w:sz w:val="24"/>
          <w:szCs w:val="24"/>
        </w:rPr>
        <w:t>skierowanej do konsulatu RP za granicą.</w:t>
      </w:r>
    </w:p>
    <w:p w14:paraId="09CABCF6" w14:textId="53AC85A0" w:rsidR="00C6540D" w:rsidRPr="003B3DCD" w:rsidRDefault="00C6540D" w:rsidP="007C6F97">
      <w:pPr>
        <w:spacing w:after="0" w:line="240" w:lineRule="auto"/>
        <w:jc w:val="both"/>
        <w:rPr>
          <w:rFonts w:ascii="Times New Roman" w:hAnsi="Times New Roman"/>
          <w:sz w:val="24"/>
          <w:szCs w:val="24"/>
        </w:rPr>
      </w:pPr>
    </w:p>
    <w:p w14:paraId="61F515C3" w14:textId="1882362D" w:rsidR="00C6540D" w:rsidRPr="003B3DCD" w:rsidRDefault="00C6540D" w:rsidP="007C6F97">
      <w:pPr>
        <w:spacing w:after="0" w:line="240" w:lineRule="auto"/>
        <w:ind w:firstLine="708"/>
        <w:jc w:val="both"/>
        <w:rPr>
          <w:rFonts w:ascii="Times New Roman" w:hAnsi="Times New Roman"/>
          <w:sz w:val="24"/>
          <w:szCs w:val="24"/>
        </w:rPr>
      </w:pPr>
      <w:r w:rsidRPr="003B3DCD">
        <w:rPr>
          <w:rFonts w:ascii="Times New Roman" w:hAnsi="Times New Roman"/>
          <w:sz w:val="24"/>
          <w:szCs w:val="24"/>
        </w:rPr>
        <w:t xml:space="preserve">Uprzejmie przypominam, że przed rozpoczęciem praktyki patron praktyki ma obowiązek omówić z aplikantem cel, szczegółowy zakres tematyczny praktyki i jej planowany przebieg oraz zapoznać aplikanta ze swoim stanowiskiem pracy i strukturą organizacyjną jednostki, w której jest zatrudniony. </w:t>
      </w:r>
    </w:p>
    <w:p w14:paraId="003F0AC2" w14:textId="77777777" w:rsidR="00C96523" w:rsidRPr="003B3DCD" w:rsidRDefault="00C96523" w:rsidP="007C6F97">
      <w:pPr>
        <w:spacing w:after="0" w:line="240" w:lineRule="auto"/>
        <w:ind w:firstLine="708"/>
        <w:jc w:val="both"/>
        <w:rPr>
          <w:rFonts w:ascii="Times New Roman" w:hAnsi="Times New Roman"/>
          <w:b/>
          <w:sz w:val="24"/>
          <w:szCs w:val="24"/>
        </w:rPr>
      </w:pPr>
      <w:r w:rsidRPr="003B3DCD">
        <w:rPr>
          <w:rFonts w:ascii="Times New Roman" w:hAnsi="Times New Roman"/>
          <w:b/>
          <w:sz w:val="24"/>
          <w:szCs w:val="24"/>
        </w:rPr>
        <w:t xml:space="preserve">Po wykonaniu przez aplikanta czynności należy szczegółowo omówić z nim wyniki jego pracy. </w:t>
      </w:r>
    </w:p>
    <w:p w14:paraId="56651E0F" w14:textId="77777777" w:rsidR="00C96523" w:rsidRPr="003B3DCD" w:rsidRDefault="00C96523" w:rsidP="007C6F97">
      <w:pPr>
        <w:spacing w:after="0" w:line="240" w:lineRule="auto"/>
        <w:ind w:firstLine="708"/>
        <w:jc w:val="both"/>
        <w:rPr>
          <w:rFonts w:ascii="Times New Roman" w:hAnsi="Times New Roman"/>
          <w:sz w:val="24"/>
          <w:szCs w:val="24"/>
        </w:rPr>
      </w:pPr>
    </w:p>
    <w:p w14:paraId="11CD929C" w14:textId="75B5DBCA" w:rsidR="00844891" w:rsidRDefault="00844891" w:rsidP="007C6F97">
      <w:pPr>
        <w:spacing w:after="0" w:line="240" w:lineRule="auto"/>
        <w:ind w:firstLine="708"/>
        <w:jc w:val="both"/>
        <w:rPr>
          <w:rFonts w:ascii="Times New Roman" w:hAnsi="Times New Roman"/>
          <w:sz w:val="24"/>
          <w:szCs w:val="24"/>
        </w:rPr>
      </w:pPr>
    </w:p>
    <w:p w14:paraId="1CE8DDBB" w14:textId="77777777" w:rsidR="007C6F97" w:rsidRPr="003B3DCD" w:rsidRDefault="007C6F97" w:rsidP="007C6F97">
      <w:pPr>
        <w:spacing w:after="0" w:line="240" w:lineRule="auto"/>
        <w:ind w:firstLine="708"/>
        <w:jc w:val="both"/>
        <w:rPr>
          <w:rFonts w:ascii="Times New Roman" w:hAnsi="Times New Roman"/>
          <w:sz w:val="24"/>
          <w:szCs w:val="24"/>
        </w:rPr>
      </w:pPr>
    </w:p>
    <w:p w14:paraId="7DC4FB94" w14:textId="77777777" w:rsidR="00844891" w:rsidRPr="003B3DCD" w:rsidRDefault="00844891" w:rsidP="007C6F97">
      <w:pPr>
        <w:spacing w:after="0" w:line="240" w:lineRule="auto"/>
        <w:ind w:left="3540"/>
        <w:contextualSpacing/>
        <w:jc w:val="center"/>
        <w:rPr>
          <w:rFonts w:ascii="Times New Roman" w:eastAsia="Times New Roman" w:hAnsi="Times New Roman"/>
          <w:sz w:val="24"/>
          <w:szCs w:val="24"/>
          <w:lang w:eastAsia="pl-PL"/>
        </w:rPr>
      </w:pPr>
      <w:r w:rsidRPr="003B3DCD">
        <w:rPr>
          <w:rFonts w:ascii="Times New Roman" w:eastAsia="Times New Roman" w:hAnsi="Times New Roman"/>
          <w:sz w:val="24"/>
          <w:szCs w:val="24"/>
          <w:lang w:eastAsia="pl-PL"/>
        </w:rPr>
        <w:t>Kierownik Działu Dydaktycznego OAS</w:t>
      </w:r>
    </w:p>
    <w:p w14:paraId="08F45E05" w14:textId="77777777" w:rsidR="00844891" w:rsidRPr="003B3DCD" w:rsidRDefault="00844891" w:rsidP="007C6F97">
      <w:pPr>
        <w:spacing w:after="0" w:line="240" w:lineRule="auto"/>
        <w:ind w:left="3538"/>
        <w:contextualSpacing/>
        <w:jc w:val="center"/>
        <w:rPr>
          <w:rFonts w:ascii="Times New Roman" w:eastAsia="Times New Roman" w:hAnsi="Times New Roman"/>
          <w:sz w:val="24"/>
          <w:szCs w:val="24"/>
          <w:lang w:eastAsia="pl-PL"/>
        </w:rPr>
      </w:pPr>
      <w:r w:rsidRPr="003B3DCD">
        <w:rPr>
          <w:rFonts w:ascii="Times New Roman" w:eastAsia="Times New Roman" w:hAnsi="Times New Roman"/>
          <w:sz w:val="24"/>
          <w:szCs w:val="24"/>
          <w:lang w:eastAsia="pl-PL"/>
        </w:rPr>
        <w:t>dr Mariusz Kucharczyk</w:t>
      </w:r>
    </w:p>
    <w:p w14:paraId="21C7A608" w14:textId="77777777" w:rsidR="00844891" w:rsidRPr="003B3DCD" w:rsidRDefault="00844891" w:rsidP="007C6F97">
      <w:pPr>
        <w:spacing w:after="0" w:line="240" w:lineRule="auto"/>
        <w:ind w:left="3540"/>
        <w:contextualSpacing/>
        <w:jc w:val="center"/>
        <w:rPr>
          <w:rFonts w:ascii="Times New Roman" w:eastAsia="Times New Roman" w:hAnsi="Times New Roman"/>
          <w:sz w:val="24"/>
          <w:szCs w:val="24"/>
          <w:lang w:eastAsia="pl-PL"/>
        </w:rPr>
      </w:pPr>
      <w:r w:rsidRPr="003B3DCD">
        <w:rPr>
          <w:rFonts w:ascii="Times New Roman" w:eastAsia="Times New Roman" w:hAnsi="Times New Roman"/>
          <w:sz w:val="24"/>
          <w:szCs w:val="24"/>
          <w:lang w:eastAsia="pl-PL"/>
        </w:rPr>
        <w:t>sędzia</w:t>
      </w:r>
    </w:p>
    <w:p w14:paraId="167E13A9" w14:textId="77777777" w:rsidR="00844891" w:rsidRPr="003B3DCD" w:rsidRDefault="00844891" w:rsidP="003B3DCD">
      <w:pPr>
        <w:spacing w:after="0"/>
        <w:ind w:firstLine="708"/>
        <w:jc w:val="both"/>
        <w:rPr>
          <w:rFonts w:ascii="Times New Roman" w:hAnsi="Times New Roman"/>
          <w:sz w:val="24"/>
          <w:szCs w:val="24"/>
        </w:rPr>
      </w:pPr>
    </w:p>
    <w:sectPr w:rsidR="00844891" w:rsidRPr="003B3D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06D38" w14:textId="77777777" w:rsidR="00101C5A" w:rsidRDefault="00101C5A" w:rsidP="00AA67CD">
      <w:pPr>
        <w:spacing w:after="0" w:line="240" w:lineRule="auto"/>
      </w:pPr>
      <w:r>
        <w:separator/>
      </w:r>
    </w:p>
  </w:endnote>
  <w:endnote w:type="continuationSeparator" w:id="0">
    <w:p w14:paraId="4FFBCF54" w14:textId="77777777" w:rsidR="00101C5A" w:rsidRDefault="00101C5A" w:rsidP="00A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79730" w14:textId="77777777" w:rsidR="00F409BB" w:rsidRDefault="00F409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A102" w14:textId="77777777" w:rsidR="00C6540D" w:rsidRPr="00F409BB" w:rsidRDefault="00C6540D" w:rsidP="00F409B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BAA1F" w14:textId="77777777" w:rsidR="00F409BB" w:rsidRDefault="00F409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5957" w14:textId="77777777" w:rsidR="00101C5A" w:rsidRDefault="00101C5A" w:rsidP="00AA67CD">
      <w:pPr>
        <w:spacing w:after="0" w:line="240" w:lineRule="auto"/>
      </w:pPr>
      <w:r>
        <w:separator/>
      </w:r>
    </w:p>
  </w:footnote>
  <w:footnote w:type="continuationSeparator" w:id="0">
    <w:p w14:paraId="0071275A" w14:textId="77777777" w:rsidR="00101C5A" w:rsidRDefault="00101C5A" w:rsidP="00AA6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B4A77" w14:textId="77777777" w:rsidR="00F409BB" w:rsidRDefault="00F409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E0BDB" w14:textId="77777777" w:rsidR="00F409BB" w:rsidRDefault="00F409B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1C3C" w14:textId="77777777" w:rsidR="00F409BB" w:rsidRDefault="00F409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F52"/>
    <w:multiLevelType w:val="hybridMultilevel"/>
    <w:tmpl w:val="C092224C"/>
    <w:lvl w:ilvl="0" w:tplc="04150011">
      <w:start w:val="1"/>
      <w:numFmt w:val="decimal"/>
      <w:lvlText w:val="%1)"/>
      <w:lvlJc w:val="left"/>
      <w:pPr>
        <w:ind w:left="440" w:hanging="360"/>
      </w:pPr>
      <w:rPr>
        <w:rFonts w:hint="default"/>
        <w:b/>
        <w:sz w:val="23"/>
        <w:szCs w:val="23"/>
      </w:rPr>
    </w:lvl>
    <w:lvl w:ilvl="1" w:tplc="0FCECD6E">
      <w:start w:val="1"/>
      <w:numFmt w:val="decimal"/>
      <w:lvlText w:val="%2."/>
      <w:lvlJc w:val="left"/>
      <w:pPr>
        <w:ind w:left="1160" w:hanging="360"/>
      </w:pPr>
      <w:rPr>
        <w:b/>
      </w:rPr>
    </w:lvl>
    <w:lvl w:ilvl="2" w:tplc="240429B4">
      <w:start w:val="1"/>
      <w:numFmt w:val="lowerLetter"/>
      <w:lvlText w:val="%3)"/>
      <w:lvlJc w:val="left"/>
      <w:pPr>
        <w:ind w:left="2060" w:hanging="360"/>
      </w:pPr>
      <w:rPr>
        <w:rFonts w:hint="default"/>
        <w:b/>
      </w:r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
    <w:nsid w:val="05F35CAF"/>
    <w:multiLevelType w:val="hybridMultilevel"/>
    <w:tmpl w:val="685296F0"/>
    <w:lvl w:ilvl="0" w:tplc="04150001">
      <w:start w:val="1"/>
      <w:numFmt w:val="bullet"/>
      <w:lvlText w:val=""/>
      <w:lvlJc w:val="left"/>
      <w:pPr>
        <w:ind w:left="720" w:hanging="360"/>
      </w:pPr>
      <w:rPr>
        <w:rFonts w:ascii="Symbol" w:hAnsi="Symbol" w:hint="default"/>
      </w:rPr>
    </w:lvl>
    <w:lvl w:ilvl="1" w:tplc="B0CADD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BE44B31"/>
    <w:multiLevelType w:val="hybridMultilevel"/>
    <w:tmpl w:val="E722ADD6"/>
    <w:lvl w:ilvl="0" w:tplc="68C00E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B77AD2"/>
    <w:multiLevelType w:val="hybridMultilevel"/>
    <w:tmpl w:val="5FBC2FBE"/>
    <w:lvl w:ilvl="0" w:tplc="B0CADD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578C547D"/>
    <w:multiLevelType w:val="hybridMultilevel"/>
    <w:tmpl w:val="F450533C"/>
    <w:lvl w:ilvl="0" w:tplc="B0CADD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8C"/>
    <w:rsid w:val="000005CF"/>
    <w:rsid w:val="0001405B"/>
    <w:rsid w:val="00033D1D"/>
    <w:rsid w:val="0007109E"/>
    <w:rsid w:val="0008304C"/>
    <w:rsid w:val="00085E89"/>
    <w:rsid w:val="00087CAB"/>
    <w:rsid w:val="000B4B61"/>
    <w:rsid w:val="000C070D"/>
    <w:rsid w:val="000C1830"/>
    <w:rsid w:val="000D378A"/>
    <w:rsid w:val="00101C5A"/>
    <w:rsid w:val="00195D0B"/>
    <w:rsid w:val="001C5C56"/>
    <w:rsid w:val="001D5E58"/>
    <w:rsid w:val="001E5109"/>
    <w:rsid w:val="001F76A3"/>
    <w:rsid w:val="00200FA4"/>
    <w:rsid w:val="00225EE4"/>
    <w:rsid w:val="00271AD3"/>
    <w:rsid w:val="00283AD2"/>
    <w:rsid w:val="00283E78"/>
    <w:rsid w:val="002A77D9"/>
    <w:rsid w:val="002C378A"/>
    <w:rsid w:val="002F2BC2"/>
    <w:rsid w:val="003221A6"/>
    <w:rsid w:val="00352157"/>
    <w:rsid w:val="0035602F"/>
    <w:rsid w:val="003627B3"/>
    <w:rsid w:val="00374436"/>
    <w:rsid w:val="003B3DCD"/>
    <w:rsid w:val="003C148A"/>
    <w:rsid w:val="003D6D42"/>
    <w:rsid w:val="003F61F7"/>
    <w:rsid w:val="00415A78"/>
    <w:rsid w:val="00417D3D"/>
    <w:rsid w:val="00441EA9"/>
    <w:rsid w:val="00455BE4"/>
    <w:rsid w:val="004575BD"/>
    <w:rsid w:val="00463B84"/>
    <w:rsid w:val="0047266C"/>
    <w:rsid w:val="0049107A"/>
    <w:rsid w:val="004A5C25"/>
    <w:rsid w:val="004B5494"/>
    <w:rsid w:val="004B6766"/>
    <w:rsid w:val="004C2C39"/>
    <w:rsid w:val="004E2766"/>
    <w:rsid w:val="004F62D8"/>
    <w:rsid w:val="00502AF4"/>
    <w:rsid w:val="00534FC5"/>
    <w:rsid w:val="00572EA7"/>
    <w:rsid w:val="005800A4"/>
    <w:rsid w:val="00584A70"/>
    <w:rsid w:val="005C07EB"/>
    <w:rsid w:val="005C6488"/>
    <w:rsid w:val="005E4707"/>
    <w:rsid w:val="00601198"/>
    <w:rsid w:val="006123CB"/>
    <w:rsid w:val="00670151"/>
    <w:rsid w:val="0067695C"/>
    <w:rsid w:val="00677673"/>
    <w:rsid w:val="00682245"/>
    <w:rsid w:val="00687199"/>
    <w:rsid w:val="00687DD0"/>
    <w:rsid w:val="00694CE4"/>
    <w:rsid w:val="0069729D"/>
    <w:rsid w:val="006B1A06"/>
    <w:rsid w:val="006C5AAD"/>
    <w:rsid w:val="006D3339"/>
    <w:rsid w:val="006D7F5D"/>
    <w:rsid w:val="006E6B11"/>
    <w:rsid w:val="006F47BE"/>
    <w:rsid w:val="007007FA"/>
    <w:rsid w:val="007144FA"/>
    <w:rsid w:val="00720290"/>
    <w:rsid w:val="00731530"/>
    <w:rsid w:val="00734D54"/>
    <w:rsid w:val="0075750E"/>
    <w:rsid w:val="007A3B09"/>
    <w:rsid w:val="007B1BAB"/>
    <w:rsid w:val="007B6F11"/>
    <w:rsid w:val="007C3A8C"/>
    <w:rsid w:val="007C6F97"/>
    <w:rsid w:val="007E2C48"/>
    <w:rsid w:val="007E3D9E"/>
    <w:rsid w:val="007F28CC"/>
    <w:rsid w:val="007F3E6F"/>
    <w:rsid w:val="007F7513"/>
    <w:rsid w:val="00810460"/>
    <w:rsid w:val="00844891"/>
    <w:rsid w:val="008528E4"/>
    <w:rsid w:val="00862406"/>
    <w:rsid w:val="0088627E"/>
    <w:rsid w:val="008C3394"/>
    <w:rsid w:val="008F18D4"/>
    <w:rsid w:val="008F7FF7"/>
    <w:rsid w:val="009135B9"/>
    <w:rsid w:val="00913F7A"/>
    <w:rsid w:val="0093652D"/>
    <w:rsid w:val="00941A3F"/>
    <w:rsid w:val="0095664A"/>
    <w:rsid w:val="00956B79"/>
    <w:rsid w:val="009646DA"/>
    <w:rsid w:val="00980221"/>
    <w:rsid w:val="00983AB4"/>
    <w:rsid w:val="009B1E68"/>
    <w:rsid w:val="009B3CA4"/>
    <w:rsid w:val="009D2102"/>
    <w:rsid w:val="009E0CFB"/>
    <w:rsid w:val="009F081C"/>
    <w:rsid w:val="00A041E3"/>
    <w:rsid w:val="00A24D29"/>
    <w:rsid w:val="00A322B3"/>
    <w:rsid w:val="00A35520"/>
    <w:rsid w:val="00A531CC"/>
    <w:rsid w:val="00A76E09"/>
    <w:rsid w:val="00A90B8C"/>
    <w:rsid w:val="00AA67CD"/>
    <w:rsid w:val="00AB1CA4"/>
    <w:rsid w:val="00AB7C04"/>
    <w:rsid w:val="00AC6C80"/>
    <w:rsid w:val="00AC7DA6"/>
    <w:rsid w:val="00AF6FF9"/>
    <w:rsid w:val="00B03962"/>
    <w:rsid w:val="00B133F0"/>
    <w:rsid w:val="00B27341"/>
    <w:rsid w:val="00B45F7E"/>
    <w:rsid w:val="00B71576"/>
    <w:rsid w:val="00B732B5"/>
    <w:rsid w:val="00B76CC2"/>
    <w:rsid w:val="00B81B62"/>
    <w:rsid w:val="00BA4166"/>
    <w:rsid w:val="00BC55BF"/>
    <w:rsid w:val="00BC7ED9"/>
    <w:rsid w:val="00BD1CAA"/>
    <w:rsid w:val="00C00A33"/>
    <w:rsid w:val="00C10CF5"/>
    <w:rsid w:val="00C20ED8"/>
    <w:rsid w:val="00C32AE5"/>
    <w:rsid w:val="00C63513"/>
    <w:rsid w:val="00C6540D"/>
    <w:rsid w:val="00C66B40"/>
    <w:rsid w:val="00C84609"/>
    <w:rsid w:val="00C96523"/>
    <w:rsid w:val="00CB001C"/>
    <w:rsid w:val="00CB625D"/>
    <w:rsid w:val="00CB7DC9"/>
    <w:rsid w:val="00CD1CF8"/>
    <w:rsid w:val="00CF0E5C"/>
    <w:rsid w:val="00D12C0B"/>
    <w:rsid w:val="00D150AE"/>
    <w:rsid w:val="00D22A5C"/>
    <w:rsid w:val="00D30CF1"/>
    <w:rsid w:val="00D35175"/>
    <w:rsid w:val="00D45EE8"/>
    <w:rsid w:val="00D6448C"/>
    <w:rsid w:val="00D84572"/>
    <w:rsid w:val="00D91153"/>
    <w:rsid w:val="00D9411F"/>
    <w:rsid w:val="00DC376D"/>
    <w:rsid w:val="00DD3B36"/>
    <w:rsid w:val="00DD6365"/>
    <w:rsid w:val="00DF5552"/>
    <w:rsid w:val="00E400BC"/>
    <w:rsid w:val="00E40FC0"/>
    <w:rsid w:val="00E50BD4"/>
    <w:rsid w:val="00E50EE1"/>
    <w:rsid w:val="00E57947"/>
    <w:rsid w:val="00E67DC7"/>
    <w:rsid w:val="00E7483E"/>
    <w:rsid w:val="00E76B98"/>
    <w:rsid w:val="00E8061D"/>
    <w:rsid w:val="00E84918"/>
    <w:rsid w:val="00EB04D5"/>
    <w:rsid w:val="00EB4D82"/>
    <w:rsid w:val="00EC32E2"/>
    <w:rsid w:val="00EE39CA"/>
    <w:rsid w:val="00EF023F"/>
    <w:rsid w:val="00F053FD"/>
    <w:rsid w:val="00F36BCE"/>
    <w:rsid w:val="00F409BB"/>
    <w:rsid w:val="00F92C5B"/>
    <w:rsid w:val="00FA5F28"/>
    <w:rsid w:val="00FA63EE"/>
    <w:rsid w:val="00FB5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A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C3A8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7C3A8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C3A8C"/>
    <w:pPr>
      <w:ind w:left="720"/>
      <w:contextualSpacing/>
    </w:pPr>
  </w:style>
  <w:style w:type="paragraph" w:styleId="Tekstprzypisukocowego">
    <w:name w:val="endnote text"/>
    <w:basedOn w:val="Normalny"/>
    <w:link w:val="TekstprzypisukocowegoZnak"/>
    <w:uiPriority w:val="99"/>
    <w:semiHidden/>
    <w:unhideWhenUsed/>
    <w:rsid w:val="00AA6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7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A67CD"/>
    <w:rPr>
      <w:vertAlign w:val="superscript"/>
    </w:rPr>
  </w:style>
  <w:style w:type="character" w:styleId="Odwoaniedokomentarza">
    <w:name w:val="annotation reference"/>
    <w:basedOn w:val="Domylnaczcionkaakapitu"/>
    <w:uiPriority w:val="99"/>
    <w:semiHidden/>
    <w:unhideWhenUsed/>
    <w:rsid w:val="00720290"/>
    <w:rPr>
      <w:sz w:val="16"/>
      <w:szCs w:val="16"/>
    </w:rPr>
  </w:style>
  <w:style w:type="paragraph" w:styleId="Tekstkomentarza">
    <w:name w:val="annotation text"/>
    <w:basedOn w:val="Normalny"/>
    <w:link w:val="TekstkomentarzaZnak"/>
    <w:uiPriority w:val="99"/>
    <w:semiHidden/>
    <w:unhideWhenUsed/>
    <w:rsid w:val="007202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2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0290"/>
    <w:rPr>
      <w:b/>
      <w:bCs/>
    </w:rPr>
  </w:style>
  <w:style w:type="character" w:customStyle="1" w:styleId="TematkomentarzaZnak">
    <w:name w:val="Temat komentarza Znak"/>
    <w:basedOn w:val="TekstkomentarzaZnak"/>
    <w:link w:val="Tematkomentarza"/>
    <w:uiPriority w:val="99"/>
    <w:semiHidden/>
    <w:rsid w:val="0072029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0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290"/>
    <w:rPr>
      <w:rFonts w:ascii="Segoe UI" w:eastAsia="Calibri" w:hAnsi="Segoe UI" w:cs="Segoe UI"/>
      <w:sz w:val="18"/>
      <w:szCs w:val="18"/>
    </w:rPr>
  </w:style>
  <w:style w:type="character" w:customStyle="1" w:styleId="Teksttreci6">
    <w:name w:val="Tekst treści (6)_"/>
    <w:basedOn w:val="Domylnaczcionkaakapitu"/>
    <w:link w:val="Teksttreci60"/>
    <w:rsid w:val="00C6540D"/>
    <w:rPr>
      <w:rFonts w:ascii="Times New Roman" w:eastAsia="Times New Roman" w:hAnsi="Times New Roman" w:cs="Times New Roman"/>
      <w:sz w:val="23"/>
      <w:szCs w:val="23"/>
      <w:shd w:val="clear" w:color="auto" w:fill="FFFFFF"/>
    </w:rPr>
  </w:style>
  <w:style w:type="paragraph" w:customStyle="1" w:styleId="Teksttreci60">
    <w:name w:val="Tekst treści (6)"/>
    <w:basedOn w:val="Normalny"/>
    <w:link w:val="Teksttreci6"/>
    <w:rsid w:val="00C6540D"/>
    <w:pPr>
      <w:shd w:val="clear" w:color="auto" w:fill="FFFFFF"/>
      <w:spacing w:after="0" w:line="0" w:lineRule="atLeast"/>
    </w:pPr>
    <w:rPr>
      <w:rFonts w:ascii="Times New Roman" w:eastAsia="Times New Roman" w:hAnsi="Times New Roman"/>
      <w:sz w:val="23"/>
      <w:szCs w:val="23"/>
    </w:rPr>
  </w:style>
  <w:style w:type="paragraph" w:styleId="Stopka">
    <w:name w:val="footer"/>
    <w:basedOn w:val="Normalny"/>
    <w:link w:val="StopkaZnak"/>
    <w:uiPriority w:val="99"/>
    <w:unhideWhenUsed/>
    <w:rsid w:val="00C654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4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A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C3A8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7C3A8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C3A8C"/>
    <w:pPr>
      <w:ind w:left="720"/>
      <w:contextualSpacing/>
    </w:pPr>
  </w:style>
  <w:style w:type="paragraph" w:styleId="Tekstprzypisukocowego">
    <w:name w:val="endnote text"/>
    <w:basedOn w:val="Normalny"/>
    <w:link w:val="TekstprzypisukocowegoZnak"/>
    <w:uiPriority w:val="99"/>
    <w:semiHidden/>
    <w:unhideWhenUsed/>
    <w:rsid w:val="00AA6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67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A67CD"/>
    <w:rPr>
      <w:vertAlign w:val="superscript"/>
    </w:rPr>
  </w:style>
  <w:style w:type="character" w:styleId="Odwoaniedokomentarza">
    <w:name w:val="annotation reference"/>
    <w:basedOn w:val="Domylnaczcionkaakapitu"/>
    <w:uiPriority w:val="99"/>
    <w:semiHidden/>
    <w:unhideWhenUsed/>
    <w:rsid w:val="00720290"/>
    <w:rPr>
      <w:sz w:val="16"/>
      <w:szCs w:val="16"/>
    </w:rPr>
  </w:style>
  <w:style w:type="paragraph" w:styleId="Tekstkomentarza">
    <w:name w:val="annotation text"/>
    <w:basedOn w:val="Normalny"/>
    <w:link w:val="TekstkomentarzaZnak"/>
    <w:uiPriority w:val="99"/>
    <w:semiHidden/>
    <w:unhideWhenUsed/>
    <w:rsid w:val="007202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2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0290"/>
    <w:rPr>
      <w:b/>
      <w:bCs/>
    </w:rPr>
  </w:style>
  <w:style w:type="character" w:customStyle="1" w:styleId="TematkomentarzaZnak">
    <w:name w:val="Temat komentarza Znak"/>
    <w:basedOn w:val="TekstkomentarzaZnak"/>
    <w:link w:val="Tematkomentarza"/>
    <w:uiPriority w:val="99"/>
    <w:semiHidden/>
    <w:rsid w:val="0072029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0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290"/>
    <w:rPr>
      <w:rFonts w:ascii="Segoe UI" w:eastAsia="Calibri" w:hAnsi="Segoe UI" w:cs="Segoe UI"/>
      <w:sz w:val="18"/>
      <w:szCs w:val="18"/>
    </w:rPr>
  </w:style>
  <w:style w:type="character" w:customStyle="1" w:styleId="Teksttreci6">
    <w:name w:val="Tekst treści (6)_"/>
    <w:basedOn w:val="Domylnaczcionkaakapitu"/>
    <w:link w:val="Teksttreci60"/>
    <w:rsid w:val="00C6540D"/>
    <w:rPr>
      <w:rFonts w:ascii="Times New Roman" w:eastAsia="Times New Roman" w:hAnsi="Times New Roman" w:cs="Times New Roman"/>
      <w:sz w:val="23"/>
      <w:szCs w:val="23"/>
      <w:shd w:val="clear" w:color="auto" w:fill="FFFFFF"/>
    </w:rPr>
  </w:style>
  <w:style w:type="paragraph" w:customStyle="1" w:styleId="Teksttreci60">
    <w:name w:val="Tekst treści (6)"/>
    <w:basedOn w:val="Normalny"/>
    <w:link w:val="Teksttreci6"/>
    <w:rsid w:val="00C6540D"/>
    <w:pPr>
      <w:shd w:val="clear" w:color="auto" w:fill="FFFFFF"/>
      <w:spacing w:after="0" w:line="0" w:lineRule="atLeast"/>
    </w:pPr>
    <w:rPr>
      <w:rFonts w:ascii="Times New Roman" w:eastAsia="Times New Roman" w:hAnsi="Times New Roman"/>
      <w:sz w:val="23"/>
      <w:szCs w:val="23"/>
    </w:rPr>
  </w:style>
  <w:style w:type="paragraph" w:styleId="Stopka">
    <w:name w:val="footer"/>
    <w:basedOn w:val="Normalny"/>
    <w:link w:val="StopkaZnak"/>
    <w:uiPriority w:val="99"/>
    <w:unhideWhenUsed/>
    <w:rsid w:val="00C654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4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165">
      <w:bodyDiv w:val="1"/>
      <w:marLeft w:val="0"/>
      <w:marRight w:val="0"/>
      <w:marTop w:val="0"/>
      <w:marBottom w:val="0"/>
      <w:divBdr>
        <w:top w:val="none" w:sz="0" w:space="0" w:color="auto"/>
        <w:left w:val="none" w:sz="0" w:space="0" w:color="auto"/>
        <w:bottom w:val="none" w:sz="0" w:space="0" w:color="auto"/>
        <w:right w:val="none" w:sz="0" w:space="0" w:color="auto"/>
      </w:divBdr>
    </w:div>
    <w:div w:id="141193027">
      <w:bodyDiv w:val="1"/>
      <w:marLeft w:val="0"/>
      <w:marRight w:val="0"/>
      <w:marTop w:val="0"/>
      <w:marBottom w:val="0"/>
      <w:divBdr>
        <w:top w:val="none" w:sz="0" w:space="0" w:color="auto"/>
        <w:left w:val="none" w:sz="0" w:space="0" w:color="auto"/>
        <w:bottom w:val="none" w:sz="0" w:space="0" w:color="auto"/>
        <w:right w:val="none" w:sz="0" w:space="0" w:color="auto"/>
      </w:divBdr>
    </w:div>
    <w:div w:id="758598993">
      <w:bodyDiv w:val="1"/>
      <w:marLeft w:val="0"/>
      <w:marRight w:val="0"/>
      <w:marTop w:val="0"/>
      <w:marBottom w:val="0"/>
      <w:divBdr>
        <w:top w:val="none" w:sz="0" w:space="0" w:color="auto"/>
        <w:left w:val="none" w:sz="0" w:space="0" w:color="auto"/>
        <w:bottom w:val="none" w:sz="0" w:space="0" w:color="auto"/>
        <w:right w:val="none" w:sz="0" w:space="0" w:color="auto"/>
      </w:divBdr>
    </w:div>
    <w:div w:id="924345137">
      <w:bodyDiv w:val="1"/>
      <w:marLeft w:val="0"/>
      <w:marRight w:val="0"/>
      <w:marTop w:val="0"/>
      <w:marBottom w:val="0"/>
      <w:divBdr>
        <w:top w:val="none" w:sz="0" w:space="0" w:color="auto"/>
        <w:left w:val="none" w:sz="0" w:space="0" w:color="auto"/>
        <w:bottom w:val="none" w:sz="0" w:space="0" w:color="auto"/>
        <w:right w:val="none" w:sz="0" w:space="0" w:color="auto"/>
      </w:divBdr>
    </w:div>
    <w:div w:id="1049034965">
      <w:bodyDiv w:val="1"/>
      <w:marLeft w:val="0"/>
      <w:marRight w:val="0"/>
      <w:marTop w:val="0"/>
      <w:marBottom w:val="0"/>
      <w:divBdr>
        <w:top w:val="none" w:sz="0" w:space="0" w:color="auto"/>
        <w:left w:val="none" w:sz="0" w:space="0" w:color="auto"/>
        <w:bottom w:val="none" w:sz="0" w:space="0" w:color="auto"/>
        <w:right w:val="none" w:sz="0" w:space="0" w:color="auto"/>
      </w:divBdr>
    </w:div>
    <w:div w:id="1143545507">
      <w:bodyDiv w:val="1"/>
      <w:marLeft w:val="0"/>
      <w:marRight w:val="0"/>
      <w:marTop w:val="0"/>
      <w:marBottom w:val="0"/>
      <w:divBdr>
        <w:top w:val="none" w:sz="0" w:space="0" w:color="auto"/>
        <w:left w:val="none" w:sz="0" w:space="0" w:color="auto"/>
        <w:bottom w:val="none" w:sz="0" w:space="0" w:color="auto"/>
        <w:right w:val="none" w:sz="0" w:space="0" w:color="auto"/>
      </w:divBdr>
    </w:div>
    <w:div w:id="1335689701">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8523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6467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2022-03-03T07:38:00Z</dcterms:created>
  <dcterms:modified xsi:type="dcterms:W3CDTF">2022-03-03T07:38:00Z</dcterms:modified>
</cp:coreProperties>
</file>