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EB" w:rsidRDefault="00457B8F">
      <w:pPr>
        <w:pStyle w:val="Standard"/>
        <w:rPr>
          <w:rFonts w:ascii="Verdana" w:hAnsi="Verdana" w:cs="Verdana"/>
          <w:color w:val="C9211E"/>
        </w:rPr>
      </w:pPr>
      <w:bookmarkStart w:id="0" w:name="_GoBack"/>
      <w:bookmarkEnd w:id="0"/>
      <w:r>
        <w:rPr>
          <w:rFonts w:ascii="Verdana" w:hAnsi="Verdana" w:cs="Verdana"/>
          <w:color w:val="C9211E"/>
        </w:rPr>
        <w:tab/>
      </w:r>
    </w:p>
    <w:p w:rsidR="00767EEB" w:rsidRDefault="00457B8F">
      <w:pPr>
        <w:pStyle w:val="Standard"/>
      </w:pPr>
      <w:r>
        <w:rPr>
          <w:color w:val="000000"/>
        </w:rPr>
        <w:t>OAP-II.420.4.4.2024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Kraków, dnia 31 października 2024 roku  </w:t>
      </w:r>
    </w:p>
    <w:p w:rsidR="00767EEB" w:rsidRDefault="00767EEB">
      <w:pPr>
        <w:pStyle w:val="Standard"/>
        <w:rPr>
          <w:color w:val="000000"/>
        </w:rPr>
      </w:pPr>
    </w:p>
    <w:p w:rsidR="00767EEB" w:rsidRDefault="00767EEB">
      <w:pPr>
        <w:pStyle w:val="Standard"/>
        <w:ind w:firstLine="360"/>
        <w:jc w:val="both"/>
        <w:rPr>
          <w:color w:val="000000"/>
        </w:rPr>
      </w:pPr>
    </w:p>
    <w:p w:rsidR="00767EEB" w:rsidRDefault="00767EEB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767EEB" w:rsidRDefault="00767EEB">
      <w:pPr>
        <w:pStyle w:val="Standard"/>
        <w:spacing w:line="360" w:lineRule="auto"/>
        <w:ind w:left="4309" w:right="-567"/>
        <w:rPr>
          <w:b/>
          <w:color w:val="000000"/>
        </w:rPr>
      </w:pPr>
    </w:p>
    <w:p w:rsidR="00767EEB" w:rsidRDefault="00457B8F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 xml:space="preserve">Szanowni Państwo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Patroni </w:t>
      </w:r>
      <w:r>
        <w:rPr>
          <w:b/>
          <w:color w:val="000000"/>
        </w:rPr>
        <w:t>Koordynatorzy</w:t>
      </w:r>
    </w:p>
    <w:p w:rsidR="00767EEB" w:rsidRDefault="00457B8F">
      <w:pPr>
        <w:pStyle w:val="Standard"/>
        <w:spacing w:line="360" w:lineRule="auto"/>
        <w:ind w:left="3540" w:right="-567" w:firstLine="708"/>
      </w:pPr>
      <w:r>
        <w:rPr>
          <w:b/>
          <w:color w:val="000000"/>
        </w:rPr>
        <w:t xml:space="preserve"> oraz Patroni Praktyk</w:t>
      </w:r>
    </w:p>
    <w:p w:rsidR="00767EEB" w:rsidRDefault="00457B8F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aplikantów aplikacji</w:t>
      </w:r>
    </w:p>
    <w:p w:rsidR="00767EEB" w:rsidRDefault="00457B8F">
      <w:pPr>
        <w:pStyle w:val="Standard"/>
        <w:spacing w:line="360" w:lineRule="auto"/>
        <w:ind w:left="4309" w:right="-567"/>
        <w:rPr>
          <w:b/>
          <w:color w:val="000000"/>
        </w:rPr>
      </w:pPr>
      <w:r>
        <w:rPr>
          <w:b/>
          <w:color w:val="000000"/>
        </w:rPr>
        <w:t>uzupełniającej prokuratorskiej</w:t>
      </w:r>
    </w:p>
    <w:p w:rsidR="00767EEB" w:rsidRDefault="00767EEB">
      <w:pPr>
        <w:pStyle w:val="Standard"/>
        <w:spacing w:line="360" w:lineRule="auto"/>
        <w:jc w:val="right"/>
        <w:rPr>
          <w:b/>
          <w:color w:val="000000"/>
        </w:rPr>
      </w:pPr>
    </w:p>
    <w:p w:rsidR="00767EEB" w:rsidRDefault="00457B8F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67EEB" w:rsidRDefault="00457B8F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</w:p>
    <w:p w:rsidR="00767EEB" w:rsidRDefault="00457B8F">
      <w:pPr>
        <w:pStyle w:val="Standard"/>
        <w:spacing w:line="360" w:lineRule="auto"/>
        <w:jc w:val="both"/>
      </w:pPr>
      <w:r>
        <w:rPr>
          <w:b/>
          <w:color w:val="000000"/>
          <w:u w:val="single"/>
        </w:rPr>
        <w:t>Dotyczy praktyk aplikantów V rocznika aplikacji uzupełniającej prokuratorskiej</w:t>
      </w:r>
      <w:r>
        <w:rPr>
          <w:b/>
          <w:color w:val="000000"/>
          <w:u w:val="single"/>
        </w:rPr>
        <w:br/>
      </w:r>
      <w:r>
        <w:rPr>
          <w:b/>
          <w:color w:val="000000"/>
          <w:u w:val="single"/>
        </w:rPr>
        <w:t xml:space="preserve"> po 15 zjeździe</w:t>
      </w:r>
    </w:p>
    <w:p w:rsidR="00767EEB" w:rsidRDefault="00767EEB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767EEB" w:rsidRDefault="00767EEB">
      <w:pPr>
        <w:pStyle w:val="Standard"/>
        <w:spacing w:line="360" w:lineRule="auto"/>
        <w:ind w:left="3240"/>
        <w:jc w:val="both"/>
        <w:rPr>
          <w:b/>
          <w:color w:val="C9211E"/>
          <w:u w:val="single"/>
        </w:rPr>
      </w:pPr>
    </w:p>
    <w:p w:rsidR="00767EEB" w:rsidRDefault="00457B8F">
      <w:pPr>
        <w:pStyle w:val="Standard"/>
        <w:spacing w:line="360" w:lineRule="auto"/>
        <w:jc w:val="both"/>
      </w:pPr>
      <w:r>
        <w:rPr>
          <w:color w:val="000000"/>
        </w:rPr>
        <w:tab/>
        <w:t xml:space="preserve">W </w:t>
      </w:r>
      <w:r>
        <w:rPr>
          <w:color w:val="000000"/>
        </w:rPr>
        <w:t xml:space="preserve">oparciu o § 1 ust. 2  zarządzenia Dyrektora Krajowej Szkoły Sądownictwa </w:t>
      </w:r>
      <w:r>
        <w:rPr>
          <w:color w:val="000000"/>
        </w:rPr>
        <w:br/>
      </w:r>
      <w:r>
        <w:rPr>
          <w:color w:val="000000"/>
        </w:rPr>
        <w:t xml:space="preserve">i Prokuratury  w Krakowie Nr 539/2021 z dnia 27 października 2021 roku w sprawie szczegółowych zasad odbywania praktyki przez aplikantów aplikacji sędziowskiej </w:t>
      </w:r>
      <w:r>
        <w:rPr>
          <w:color w:val="000000"/>
        </w:rPr>
        <w:br/>
      </w:r>
      <w:r>
        <w:rPr>
          <w:color w:val="000000"/>
        </w:rPr>
        <w:t>i prokuratorskiej  zmi</w:t>
      </w:r>
      <w:r>
        <w:rPr>
          <w:color w:val="000000"/>
        </w:rPr>
        <w:t xml:space="preserve">enionego zarządzeniem Dyrektora Krajowej Szkoły Sądownictwa </w:t>
      </w:r>
      <w:r>
        <w:rPr>
          <w:color w:val="000000"/>
        </w:rPr>
        <w:br/>
      </w:r>
      <w:r>
        <w:rPr>
          <w:color w:val="000000"/>
        </w:rPr>
        <w:t>i Prokuratury w Krakowie Nr 9/2024 z dnia 12 stycznia 2024 roku w sprawie zmiany programu aplikacji uzupełniającej prokuratorskiej, uprzejmie przedstawiam szczegółowy zakres tematyczny, który pow</w:t>
      </w:r>
      <w:r>
        <w:rPr>
          <w:color w:val="000000"/>
        </w:rPr>
        <w:t xml:space="preserve">inien być przedmiotem praktyk aplikantów aplikacji uzupełniającej prokuratorskiej odbywanych w wymiarze </w:t>
      </w:r>
      <w:r>
        <w:rPr>
          <w:b/>
          <w:color w:val="000000"/>
        </w:rPr>
        <w:t>1 dnia w okresie od 17 do 21 lutego 2025 roku oraz 1 dnia w okresie od 24 do lutego 2025 roku w sądach okręgowych – wydziałach karnych.</w:t>
      </w:r>
    </w:p>
    <w:p w:rsidR="00767EEB" w:rsidRDefault="00767EEB">
      <w:pPr>
        <w:pStyle w:val="Standard"/>
        <w:spacing w:line="360" w:lineRule="auto"/>
        <w:jc w:val="both"/>
        <w:rPr>
          <w:color w:val="C9211E"/>
        </w:rPr>
      </w:pPr>
    </w:p>
    <w:p w:rsidR="00767EEB" w:rsidRDefault="00457B8F">
      <w:pPr>
        <w:pStyle w:val="Standard"/>
        <w:widowControl w:val="0"/>
        <w:spacing w:line="360" w:lineRule="auto"/>
        <w:jc w:val="both"/>
      </w:pPr>
      <w:r>
        <w:rPr>
          <w:rFonts w:eastAsia="Calibri" w:cs="Times, 'Times New Roman'"/>
          <w:color w:val="000000"/>
        </w:rPr>
        <w:tab/>
      </w:r>
      <w:r>
        <w:rPr>
          <w:rFonts w:eastAsia="Calibri" w:cs="Arial"/>
          <w:color w:val="000000"/>
        </w:rPr>
        <w:t>Celem praktyki</w:t>
      </w:r>
      <w:r>
        <w:rPr>
          <w:rFonts w:eastAsia="Calibri" w:cs="Arial"/>
          <w:color w:val="000000"/>
        </w:rPr>
        <w:t xml:space="preserve"> jest utrwalenie umiejętności związanych z udziałem w rozprawach przed sądem I instancji.</w:t>
      </w:r>
    </w:p>
    <w:p w:rsidR="00767EEB" w:rsidRDefault="00457B8F">
      <w:pPr>
        <w:pStyle w:val="Standard"/>
        <w:spacing w:after="120" w:line="360" w:lineRule="auto"/>
        <w:ind w:firstLine="709"/>
        <w:jc w:val="both"/>
      </w:pPr>
      <w:r>
        <w:rPr>
          <w:rFonts w:cs="Arial"/>
          <w:b/>
        </w:rPr>
        <w:t>Patroni praktyk winni zadbać, aby aplikanci mieli możliwość zapoznania się:</w:t>
      </w:r>
    </w:p>
    <w:p w:rsidR="00767EEB" w:rsidRDefault="00457B8F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Arial"/>
        </w:rPr>
        <w:t>z czynnościami przewodniczącego wydziału związanymi z wyznaczaniem rozprawy głównej (wydaw</w:t>
      </w:r>
      <w:r>
        <w:rPr>
          <w:rFonts w:cs="Arial"/>
        </w:rPr>
        <w:t>ane przez przewodniczącego zarządzenia, ewentualnie przebieg posiedzenia wstępnego);</w:t>
      </w:r>
    </w:p>
    <w:p w:rsidR="00767EEB" w:rsidRDefault="00457B8F">
      <w:pPr>
        <w:pStyle w:val="Standard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z przebiegiem rozprawy głównej, a w szczególności z: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czynnościami przewodniczącego składu orzekającego dotyczącymi organizacji i przebiegu rozprawy oraz czynnościami pod</w:t>
      </w:r>
      <w:r>
        <w:rPr>
          <w:rFonts w:cs="Arial"/>
        </w:rPr>
        <w:t>ejmowanymi przez strony procesu i ich przedstawicieli procesowych;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decyzjami sądu zapadającymi przed rozpoczęciem przewodu sądowego oraz w jego trakcie;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- przebiegiem postępowania dowodowego prowadzonego na rozprawie z uwzględnieniem aktywności stron </w:t>
      </w:r>
      <w:r>
        <w:rPr>
          <w:rFonts w:cs="Arial"/>
        </w:rPr>
        <w:t>procesu i ich przedstawicieli procesowych ze szczególnym uwzględnieniem udziału prokuratora w rozprawie;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wystąpieniami incydentalnymi prokuratora i mowami końcowymi,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wyrokowaniem;</w:t>
      </w:r>
    </w:p>
    <w:p w:rsidR="00767EEB" w:rsidRDefault="00457B8F">
      <w:pPr>
        <w:pStyle w:val="Standard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 przebiegiem posiedzeń sądowych w sprawach incydentalnych z udziałem pr</w:t>
      </w:r>
      <w:r>
        <w:rPr>
          <w:rFonts w:cs="Arial"/>
        </w:rPr>
        <w:t>okuratora, sposobem prezentowania stanowiska przez prokuratora i sposobem konstruowania przez niego wystąpień.</w:t>
      </w:r>
    </w:p>
    <w:p w:rsidR="00767EEB" w:rsidRDefault="00767EEB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767EEB" w:rsidRDefault="00457B8F">
      <w:pPr>
        <w:pStyle w:val="Standard"/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Nadto patroni praktyk powinni zadbać, aby aplikanci sporządzili projekty co najmniej:</w:t>
      </w:r>
    </w:p>
    <w:p w:rsidR="00767EEB" w:rsidRDefault="00767EEB">
      <w:pPr>
        <w:pStyle w:val="Standard"/>
        <w:spacing w:line="360" w:lineRule="auto"/>
        <w:ind w:firstLine="708"/>
        <w:jc w:val="both"/>
        <w:rPr>
          <w:rFonts w:cs="Arial"/>
          <w:b/>
        </w:rPr>
      </w:pPr>
    </w:p>
    <w:p w:rsidR="00767EEB" w:rsidRDefault="00457B8F">
      <w:pPr>
        <w:pStyle w:val="Standard"/>
        <w:spacing w:line="360" w:lineRule="auto"/>
        <w:jc w:val="both"/>
      </w:pPr>
      <w:r>
        <w:rPr>
          <w:rFonts w:cs="Arial"/>
        </w:rPr>
        <w:t>- 1 wyroku i uzasadnienia do niego,</w:t>
      </w:r>
    </w:p>
    <w:p w:rsidR="00767EEB" w:rsidRDefault="00457B8F">
      <w:pPr>
        <w:pStyle w:val="Standard"/>
        <w:widowControl w:val="0"/>
        <w:spacing w:line="360" w:lineRule="auto"/>
        <w:jc w:val="both"/>
      </w:pPr>
      <w:r>
        <w:rPr>
          <w:rFonts w:eastAsia="Calibri" w:cs="Arial"/>
          <w:color w:val="000000"/>
        </w:rPr>
        <w:t>- 2 zarządzeń wydawan</w:t>
      </w:r>
      <w:r>
        <w:rPr>
          <w:rFonts w:eastAsia="Calibri" w:cs="Arial"/>
          <w:color w:val="000000"/>
        </w:rPr>
        <w:t>ych przed rozpoczęciem przewodu sądowego lub w jego trakcie.</w:t>
      </w:r>
    </w:p>
    <w:p w:rsidR="00767EEB" w:rsidRDefault="00767EEB">
      <w:pPr>
        <w:pStyle w:val="Standard"/>
        <w:spacing w:line="360" w:lineRule="auto"/>
        <w:jc w:val="both"/>
        <w:rPr>
          <w:rFonts w:cs="Arial"/>
          <w:color w:val="C9211E"/>
        </w:rPr>
      </w:pPr>
    </w:p>
    <w:p w:rsidR="00767EEB" w:rsidRDefault="00767EEB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color w:val="000000"/>
        </w:rPr>
      </w:pPr>
    </w:p>
    <w:p w:rsidR="00767EEB" w:rsidRDefault="00457B8F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Kierownik</w:t>
      </w:r>
    </w:p>
    <w:p w:rsidR="00767EEB" w:rsidRDefault="00457B8F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Działu Dydaktycznego</w:t>
      </w:r>
    </w:p>
    <w:p w:rsidR="00767EEB" w:rsidRDefault="00457B8F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Ośrodku Aplikacji Prokuratorskiej</w:t>
      </w:r>
    </w:p>
    <w:p w:rsidR="00767EEB" w:rsidRDefault="00457B8F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Krajowej Szkoły Sądownictwa i Prokuratury</w:t>
      </w:r>
    </w:p>
    <w:p w:rsidR="00767EEB" w:rsidRDefault="00767EEB">
      <w:pPr>
        <w:pStyle w:val="Standard"/>
        <w:spacing w:line="360" w:lineRule="auto"/>
        <w:ind w:left="3540"/>
        <w:jc w:val="center"/>
        <w:rPr>
          <w:b/>
          <w:color w:val="000000"/>
        </w:rPr>
      </w:pPr>
    </w:p>
    <w:p w:rsidR="00767EEB" w:rsidRDefault="00457B8F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Mariusz Kowal</w:t>
      </w:r>
    </w:p>
    <w:p w:rsidR="00767EEB" w:rsidRDefault="00457B8F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>prokurator</w:t>
      </w:r>
    </w:p>
    <w:p w:rsidR="00767EEB" w:rsidRDefault="00767EEB">
      <w:pPr>
        <w:pStyle w:val="Standard"/>
        <w:spacing w:line="360" w:lineRule="auto"/>
        <w:jc w:val="both"/>
        <w:rPr>
          <w:color w:val="C9211E"/>
        </w:rPr>
      </w:pPr>
    </w:p>
    <w:p w:rsidR="00767EEB" w:rsidRDefault="00767EEB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767EEB" w:rsidRDefault="00767EEB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767EEB" w:rsidRDefault="00767EEB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767EEB" w:rsidRDefault="00767EEB">
      <w:pPr>
        <w:pStyle w:val="Standard"/>
        <w:spacing w:line="360" w:lineRule="auto"/>
        <w:jc w:val="both"/>
        <w:rPr>
          <w:rFonts w:ascii="Times" w:hAnsi="Times" w:cs="Times, 'Times New Roman'"/>
          <w:b/>
          <w:color w:val="000000"/>
        </w:rPr>
      </w:pPr>
    </w:p>
    <w:p w:rsidR="00767EEB" w:rsidRDefault="00457B8F">
      <w:pPr>
        <w:pStyle w:val="Standard"/>
        <w:spacing w:line="360" w:lineRule="auto"/>
        <w:jc w:val="both"/>
      </w:pPr>
      <w:r>
        <w:rPr>
          <w:rFonts w:ascii="Times" w:hAnsi="Times" w:cs="Times, 'Times New Roman'"/>
          <w:b/>
          <w:color w:val="000000"/>
        </w:rPr>
        <w:lastRenderedPageBreak/>
        <w:t xml:space="preserve">Załącznik do zaleceń do praktyk po 15 zjeździe V </w:t>
      </w:r>
      <w:r>
        <w:rPr>
          <w:rFonts w:ascii="Times" w:hAnsi="Times" w:cs="Times, 'Times New Roman'"/>
          <w:b/>
          <w:color w:val="000000"/>
        </w:rPr>
        <w:t>rocznika aplikacji uzupełniającej prokuratorskiej.</w:t>
      </w:r>
    </w:p>
    <w:p w:rsidR="00767EEB" w:rsidRDefault="00767EEB">
      <w:pPr>
        <w:pStyle w:val="Standard"/>
        <w:spacing w:line="360" w:lineRule="auto"/>
        <w:jc w:val="both"/>
        <w:rPr>
          <w:rFonts w:ascii="Times" w:eastAsia="Calibri" w:hAnsi="Times" w:cs="Times, 'Times New Roman'"/>
          <w:color w:val="000000"/>
          <w:lang w:eastAsia="en-US"/>
        </w:rPr>
      </w:pPr>
    </w:p>
    <w:p w:rsidR="00767EEB" w:rsidRDefault="00767EEB">
      <w:pPr>
        <w:pStyle w:val="Standard"/>
        <w:spacing w:line="360" w:lineRule="auto"/>
        <w:ind w:firstLine="360"/>
        <w:jc w:val="both"/>
        <w:rPr>
          <w:rFonts w:eastAsia="Calibri" w:cs="Times, 'Times New Roman'"/>
          <w:b/>
          <w:bCs/>
          <w:color w:val="000000"/>
          <w:lang w:eastAsia="en-US"/>
        </w:rPr>
      </w:pPr>
    </w:p>
    <w:p w:rsidR="00767EEB" w:rsidRDefault="00457B8F">
      <w:pPr>
        <w:pStyle w:val="Standard"/>
        <w:spacing w:before="252" w:line="360" w:lineRule="auto"/>
        <w:rPr>
          <w:rFonts w:eastAsia="Calibri" w:cs="Arial"/>
          <w:b/>
          <w:color w:val="000000"/>
          <w:spacing w:val="1"/>
          <w:lang w:eastAsia="en-US"/>
        </w:rPr>
      </w:pPr>
      <w:r>
        <w:rPr>
          <w:rFonts w:eastAsia="Calibri" w:cs="Arial"/>
          <w:b/>
          <w:color w:val="000000"/>
          <w:spacing w:val="1"/>
          <w:lang w:eastAsia="en-US"/>
        </w:rPr>
        <w:t>Prawo karne materialne</w:t>
      </w:r>
    </w:p>
    <w:p w:rsidR="00767EEB" w:rsidRDefault="00457B8F">
      <w:pPr>
        <w:pStyle w:val="Standard"/>
        <w:spacing w:before="252" w:line="360" w:lineRule="auto"/>
      </w:pPr>
      <w:r>
        <w:rPr>
          <w:rFonts w:eastAsia="Calibri" w:cs="Arial"/>
          <w:color w:val="000000"/>
          <w:spacing w:val="1"/>
          <w:lang w:eastAsia="en-US"/>
        </w:rPr>
        <w:t>Przestępstwa</w:t>
      </w:r>
      <w:r>
        <w:rPr>
          <w:rFonts w:eastAsia="Calibri" w:cs="Arial"/>
          <w:color w:val="000000"/>
          <w:spacing w:val="-5"/>
          <w:lang w:eastAsia="en-US"/>
        </w:rPr>
        <w:t xml:space="preserve"> </w:t>
      </w:r>
      <w:r>
        <w:rPr>
          <w:rFonts w:eastAsia="Calibri" w:cs="Arial"/>
          <w:color w:val="000000"/>
          <w:spacing w:val="-1"/>
          <w:lang w:eastAsia="en-US"/>
        </w:rPr>
        <w:t>przeciwko</w:t>
      </w:r>
      <w:r>
        <w:rPr>
          <w:rFonts w:eastAsia="Calibri" w:cs="Arial"/>
          <w:color w:val="000000"/>
          <w:spacing w:val="3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ochronie</w:t>
      </w:r>
      <w:r>
        <w:rPr>
          <w:rFonts w:eastAsia="Calibri" w:cs="Arial"/>
          <w:color w:val="000000"/>
          <w:spacing w:val="7"/>
          <w:lang w:eastAsia="en-US"/>
        </w:rPr>
        <w:t xml:space="preserve"> </w:t>
      </w:r>
      <w:r>
        <w:rPr>
          <w:rFonts w:eastAsia="Calibri" w:cs="Arial"/>
          <w:color w:val="000000"/>
          <w:spacing w:val="-1"/>
          <w:lang w:eastAsia="en-US"/>
        </w:rPr>
        <w:t>informacji.</w:t>
      </w:r>
    </w:p>
    <w:p w:rsidR="00767EEB" w:rsidRDefault="00457B8F">
      <w:pPr>
        <w:pStyle w:val="Standard"/>
        <w:spacing w:before="137" w:line="360" w:lineRule="auto"/>
      </w:pPr>
      <w:r>
        <w:rPr>
          <w:rFonts w:eastAsia="Calibri" w:cs="Arial"/>
          <w:color w:val="000000"/>
          <w:spacing w:val="1"/>
          <w:lang w:eastAsia="en-US"/>
        </w:rPr>
        <w:t>Przestępstwa</w:t>
      </w:r>
      <w:r>
        <w:rPr>
          <w:rFonts w:eastAsia="Calibri" w:cs="Arial"/>
          <w:color w:val="000000"/>
          <w:spacing w:val="-4"/>
          <w:lang w:eastAsia="en-US"/>
        </w:rPr>
        <w:t xml:space="preserve"> </w:t>
      </w:r>
      <w:r>
        <w:rPr>
          <w:rFonts w:eastAsia="Calibri" w:cs="Arial"/>
          <w:color w:val="000000"/>
          <w:spacing w:val="-1"/>
          <w:lang w:eastAsia="en-US"/>
        </w:rPr>
        <w:t>przeciwko</w:t>
      </w:r>
      <w:r>
        <w:rPr>
          <w:rFonts w:eastAsia="Calibri" w:cs="Arial"/>
          <w:color w:val="000000"/>
          <w:spacing w:val="8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wiarygodności</w:t>
      </w:r>
      <w:r>
        <w:rPr>
          <w:rFonts w:eastAsia="Calibri" w:cs="Arial"/>
          <w:color w:val="000000"/>
          <w:spacing w:val="-6"/>
          <w:lang w:eastAsia="en-US"/>
        </w:rPr>
        <w:t xml:space="preserve"> </w:t>
      </w:r>
      <w:r>
        <w:rPr>
          <w:rFonts w:eastAsia="Calibri" w:cs="Arial"/>
          <w:color w:val="000000"/>
          <w:spacing w:val="1"/>
          <w:lang w:eastAsia="en-US"/>
        </w:rPr>
        <w:t>dokumentów.</w:t>
      </w:r>
    </w:p>
    <w:p w:rsidR="00767EEB" w:rsidRDefault="00457B8F">
      <w:pPr>
        <w:pStyle w:val="Standard"/>
        <w:spacing w:before="252" w:line="360" w:lineRule="auto"/>
      </w:pPr>
      <w:r>
        <w:rPr>
          <w:rFonts w:eastAsia="Calibri" w:cs="Arial"/>
          <w:spacing w:val="1"/>
          <w:lang w:eastAsia="en-US"/>
        </w:rPr>
        <w:t>Przestępstwa</w:t>
      </w:r>
      <w:r>
        <w:rPr>
          <w:rFonts w:eastAsia="Calibri" w:cs="Arial"/>
          <w:spacing w:val="-4"/>
          <w:lang w:eastAsia="en-US"/>
        </w:rPr>
        <w:t xml:space="preserve"> </w:t>
      </w:r>
      <w:r>
        <w:rPr>
          <w:rFonts w:eastAsia="Calibri" w:cs="Arial"/>
          <w:spacing w:val="-1"/>
          <w:lang w:eastAsia="en-US"/>
        </w:rPr>
        <w:t>przeciwko</w:t>
      </w:r>
      <w:r>
        <w:rPr>
          <w:rFonts w:eastAsia="Calibri" w:cs="Arial"/>
          <w:spacing w:val="8"/>
          <w:lang w:eastAsia="en-US"/>
        </w:rPr>
        <w:t xml:space="preserve"> </w:t>
      </w:r>
      <w:r>
        <w:rPr>
          <w:rFonts w:eastAsia="Calibri" w:cs="Arial"/>
          <w:spacing w:val="-1"/>
          <w:lang w:eastAsia="en-US"/>
        </w:rPr>
        <w:t>środowisku.</w:t>
      </w:r>
    </w:p>
    <w:p w:rsidR="00767EEB" w:rsidRDefault="00457B8F">
      <w:pPr>
        <w:pStyle w:val="Standard"/>
        <w:spacing w:before="137" w:line="360" w:lineRule="auto"/>
      </w:pPr>
      <w:r>
        <w:rPr>
          <w:rFonts w:eastAsia="Calibri" w:cs="Arial"/>
          <w:spacing w:val="1"/>
          <w:lang w:eastAsia="en-US"/>
        </w:rPr>
        <w:t>Przestępstwa</w:t>
      </w:r>
      <w:r>
        <w:rPr>
          <w:rFonts w:eastAsia="Calibri" w:cs="Arial"/>
          <w:spacing w:val="107"/>
          <w:lang w:eastAsia="en-US"/>
        </w:rPr>
        <w:t xml:space="preserve"> </w:t>
      </w:r>
      <w:r>
        <w:rPr>
          <w:rFonts w:eastAsia="Calibri" w:cs="Arial"/>
          <w:spacing w:val="-1"/>
          <w:lang w:eastAsia="en-US"/>
        </w:rPr>
        <w:t>przeciwko</w:t>
      </w:r>
      <w:r>
        <w:rPr>
          <w:rFonts w:eastAsia="Calibri" w:cs="Arial"/>
          <w:spacing w:val="114"/>
          <w:lang w:eastAsia="en-US"/>
        </w:rPr>
        <w:t xml:space="preserve"> </w:t>
      </w:r>
      <w:r>
        <w:rPr>
          <w:rFonts w:eastAsia="Calibri" w:cs="Arial"/>
          <w:lang w:eastAsia="en-US"/>
        </w:rPr>
        <w:t>wolności,</w:t>
      </w:r>
      <w:r>
        <w:rPr>
          <w:rFonts w:eastAsia="Calibri" w:cs="Arial"/>
          <w:spacing w:val="111"/>
          <w:lang w:eastAsia="en-US"/>
        </w:rPr>
        <w:t xml:space="preserve"> </w:t>
      </w:r>
      <w:r>
        <w:rPr>
          <w:rFonts w:eastAsia="Calibri" w:cs="Arial"/>
          <w:spacing w:val="1"/>
          <w:lang w:eastAsia="en-US"/>
        </w:rPr>
        <w:t>wolności</w:t>
      </w:r>
      <w:r>
        <w:rPr>
          <w:rFonts w:eastAsia="Calibri" w:cs="Arial"/>
          <w:spacing w:val="103"/>
          <w:lang w:eastAsia="en-US"/>
        </w:rPr>
        <w:t xml:space="preserve"> </w:t>
      </w:r>
      <w:r>
        <w:rPr>
          <w:rFonts w:eastAsia="Calibri" w:cs="Arial"/>
          <w:lang w:eastAsia="en-US"/>
        </w:rPr>
        <w:t>sumienia</w:t>
      </w:r>
      <w:r>
        <w:rPr>
          <w:rFonts w:eastAsia="Calibri" w:cs="Arial"/>
          <w:spacing w:val="112"/>
          <w:lang w:eastAsia="en-US"/>
        </w:rPr>
        <w:t xml:space="preserve"> </w:t>
      </w:r>
      <w:r>
        <w:rPr>
          <w:rFonts w:eastAsia="Calibri" w:cs="Arial"/>
          <w:lang w:eastAsia="en-US"/>
        </w:rPr>
        <w:t>i</w:t>
      </w:r>
      <w:r>
        <w:rPr>
          <w:rFonts w:eastAsia="Calibri" w:cs="Arial"/>
          <w:spacing w:val="-7"/>
          <w:lang w:eastAsia="en-US"/>
        </w:rPr>
        <w:t xml:space="preserve"> </w:t>
      </w:r>
      <w:r>
        <w:rPr>
          <w:rFonts w:eastAsia="Calibri" w:cs="Arial"/>
          <w:lang w:eastAsia="en-US"/>
        </w:rPr>
        <w:t>wyznania,</w:t>
      </w:r>
      <w:r>
        <w:rPr>
          <w:rFonts w:eastAsia="Calibri" w:cs="Arial"/>
          <w:spacing w:val="111"/>
          <w:lang w:eastAsia="en-US"/>
        </w:rPr>
        <w:t xml:space="preserve"> </w:t>
      </w:r>
      <w:r>
        <w:rPr>
          <w:rFonts w:eastAsia="Calibri" w:cs="Arial"/>
          <w:spacing w:val="1"/>
          <w:lang w:eastAsia="en-US"/>
        </w:rPr>
        <w:t>wolności</w:t>
      </w:r>
      <w:r>
        <w:rPr>
          <w:rFonts w:eastAsia="Calibri" w:cs="Arial"/>
          <w:spacing w:val="103"/>
          <w:lang w:eastAsia="en-US"/>
        </w:rPr>
        <w:t xml:space="preserve"> </w:t>
      </w:r>
      <w:r>
        <w:rPr>
          <w:rFonts w:eastAsia="Calibri" w:cs="Arial"/>
          <w:spacing w:val="1"/>
          <w:lang w:eastAsia="en-US"/>
        </w:rPr>
        <w:t xml:space="preserve">seksualnej </w:t>
      </w:r>
      <w:r>
        <w:rPr>
          <w:rFonts w:eastAsia="Calibri" w:cs="Arial"/>
          <w:lang w:eastAsia="en-US"/>
        </w:rPr>
        <w:t>i</w:t>
      </w:r>
      <w:r>
        <w:rPr>
          <w:rFonts w:eastAsia="Calibri" w:cs="Arial"/>
          <w:spacing w:val="-7"/>
          <w:lang w:eastAsia="en-US"/>
        </w:rPr>
        <w:t xml:space="preserve"> </w:t>
      </w:r>
      <w:r>
        <w:rPr>
          <w:rFonts w:eastAsia="Calibri" w:cs="Arial"/>
          <w:lang w:eastAsia="en-US"/>
        </w:rPr>
        <w:t>obyczajności.</w:t>
      </w:r>
    </w:p>
    <w:p w:rsidR="00767EEB" w:rsidRDefault="00767EEB">
      <w:pPr>
        <w:pStyle w:val="Standard"/>
        <w:spacing w:before="137" w:line="360" w:lineRule="auto"/>
        <w:ind w:left="720"/>
        <w:rPr>
          <w:rFonts w:eastAsia="Calibri" w:cs="Arial"/>
          <w:spacing w:val="-1"/>
          <w:lang w:eastAsia="en-US"/>
        </w:rPr>
      </w:pPr>
    </w:p>
    <w:p w:rsidR="00767EEB" w:rsidRDefault="00457B8F">
      <w:pPr>
        <w:pStyle w:val="Standard"/>
        <w:spacing w:after="200" w:line="360" w:lineRule="auto"/>
        <w:rPr>
          <w:rFonts w:cs="Arial"/>
          <w:b/>
        </w:rPr>
      </w:pPr>
      <w:r>
        <w:rPr>
          <w:rFonts w:cs="Arial"/>
          <w:b/>
        </w:rPr>
        <w:t>Prawo karne procesowe</w:t>
      </w:r>
    </w:p>
    <w:p w:rsidR="00767EEB" w:rsidRDefault="00457B8F">
      <w:pPr>
        <w:pStyle w:val="Standard"/>
        <w:spacing w:line="360" w:lineRule="auto"/>
        <w:jc w:val="both"/>
      </w:pPr>
      <w:r>
        <w:rPr>
          <w:rFonts w:cs="Arial"/>
          <w:u w:val="single"/>
        </w:rPr>
        <w:t>Szczególne formy postępowania jurysdykcyjnego.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Celem zajęć jest omówienie odrębności postępowania w sprawach karnych z oskarżenia prywatnego, nakazowego i przyspieszonego, a także </w:t>
      </w:r>
      <w:r>
        <w:rPr>
          <w:rFonts w:cs="Arial"/>
        </w:rPr>
        <w:t>kwestii związanych ze wstąpieniem prokuratora do sprawy wszczętej na podstawie aktu oskarżenia wniesionego przez oskarżyciela posiłkowego.</w:t>
      </w:r>
    </w:p>
    <w:p w:rsidR="00767EEB" w:rsidRDefault="00457B8F">
      <w:pPr>
        <w:pStyle w:val="Standard"/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Udział prokuratora w postępowaniu sądowym (cd.)</w:t>
      </w:r>
    </w:p>
    <w:p w:rsidR="00767EEB" w:rsidRDefault="00457B8F">
      <w:pPr>
        <w:pStyle w:val="Standard"/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Postępowanie przed sądem I instancji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Sposób prezentacji stanowiska, </w:t>
      </w:r>
      <w:r>
        <w:rPr>
          <w:rFonts w:cs="Arial"/>
        </w:rPr>
        <w:t>wystąpienia prokuratora (incydentalne i końcowe). Wystąpienia aplikantów powinny być nagrywane, a następnie odtworzone i omówione przez wykładowcę.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Wnioski co do wymiaru kary i innych rozstrzygnięć oraz ich uzasadnienie i ocena wyroku w tym zakresie.</w:t>
      </w:r>
    </w:p>
    <w:p w:rsidR="00767EEB" w:rsidRDefault="00457B8F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Wyrok</w:t>
      </w:r>
      <w:r>
        <w:rPr>
          <w:rFonts w:cs="Arial"/>
        </w:rPr>
        <w:t>owanie – konstrukcja wyroku i jego rodzaje</w:t>
      </w:r>
    </w:p>
    <w:p w:rsidR="00767EEB" w:rsidRDefault="00457B8F">
      <w:pPr>
        <w:pStyle w:val="Standard"/>
        <w:keepNext/>
        <w:spacing w:line="360" w:lineRule="auto"/>
        <w:jc w:val="both"/>
      </w:pPr>
      <w:r>
        <w:rPr>
          <w:rFonts w:cs="Arial"/>
        </w:rPr>
        <w:t xml:space="preserve">Symulacja rozprawy z udziałem obrońcy oskarżonego – zajęcia prowadzone są wspólnie  </w:t>
      </w:r>
      <w:r>
        <w:rPr>
          <w:rFonts w:cs="Arial"/>
          <w:color w:val="000000"/>
          <w:lang w:eastAsia="en-US"/>
        </w:rPr>
        <w:t>przez sędziego i prokuratora.</w:t>
      </w:r>
    </w:p>
    <w:p w:rsidR="00767EEB" w:rsidRDefault="00767EEB">
      <w:pPr>
        <w:pStyle w:val="Standard"/>
        <w:spacing w:after="200" w:line="360" w:lineRule="auto"/>
        <w:jc w:val="both"/>
        <w:rPr>
          <w:rFonts w:ascii="Arial" w:hAnsi="Arial" w:cs="Arial"/>
          <w:color w:val="000000"/>
          <w:lang w:eastAsia="en-US"/>
        </w:rPr>
      </w:pPr>
    </w:p>
    <w:sectPr w:rsidR="00767EEB">
      <w:headerReference w:type="default" r:id="rId7"/>
      <w:footerReference w:type="default" r:id="rId8"/>
      <w:pgSz w:w="11906" w:h="16838"/>
      <w:pgMar w:top="1418" w:right="1418" w:bottom="1560" w:left="1418" w:header="568" w:footer="4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8F" w:rsidRDefault="00457B8F">
      <w:pPr>
        <w:rPr>
          <w:rFonts w:hint="eastAsia"/>
        </w:rPr>
      </w:pPr>
      <w:r>
        <w:separator/>
      </w:r>
    </w:p>
  </w:endnote>
  <w:endnote w:type="continuationSeparator" w:id="0">
    <w:p w:rsidR="00457B8F" w:rsidRDefault="00457B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, 'Times New Roman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PageNumWizard_FOOTER_Domyślny_styl_stron"/>
  <w:p w:rsidR="00E13293" w:rsidRDefault="00457B8F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8F" w:rsidRDefault="00457B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7B8F" w:rsidRDefault="00457B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93" w:rsidRDefault="00457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804"/>
    <w:multiLevelType w:val="multilevel"/>
    <w:tmpl w:val="035C6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EEB"/>
    <w:rsid w:val="00457B8F"/>
    <w:rsid w:val="00767EEB"/>
    <w:rsid w:val="00A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751A9-7192-4E6D-B87D-68ACF1D2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</w:style>
  <w:style w:type="paragraph" w:styleId="Stopka">
    <w:name w:val="footer"/>
    <w:basedOn w:val="Standard"/>
    <w:pPr>
      <w:jc w:val="center"/>
    </w:pPr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TableWW">
    <w:name w:val="Normal Table (WW)"/>
    <w:pPr>
      <w:widowControl/>
      <w:suppressAutoHyphens/>
      <w:spacing w:after="160" w:line="251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7z0">
    <w:name w:val="WW8Num7z0"/>
    <w:rPr>
      <w:i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u w:val="single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b/>
      <w:u w:val="none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Piotr Woicki</cp:lastModifiedBy>
  <cp:revision>2</cp:revision>
  <cp:lastPrinted>2019-03-27T14:33:00Z</cp:lastPrinted>
  <dcterms:created xsi:type="dcterms:W3CDTF">2024-11-21T13:53:00Z</dcterms:created>
  <dcterms:modified xsi:type="dcterms:W3CDTF">2024-11-21T13:53:00Z</dcterms:modified>
</cp:coreProperties>
</file>