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CC" w:rsidRDefault="007850D0">
      <w:pPr>
        <w:pStyle w:val="Standard"/>
        <w:rPr>
          <w:rFonts w:ascii="Verdana" w:hAnsi="Verdana" w:cs="Verdana"/>
          <w:color w:val="C9211E"/>
        </w:rPr>
      </w:pPr>
      <w:bookmarkStart w:id="0" w:name="_GoBack"/>
      <w:bookmarkEnd w:id="0"/>
      <w:r>
        <w:rPr>
          <w:rFonts w:ascii="Verdana" w:hAnsi="Verdana" w:cs="Verdana"/>
          <w:color w:val="C9211E"/>
        </w:rPr>
        <w:tab/>
      </w:r>
    </w:p>
    <w:p w:rsidR="00E210CC" w:rsidRDefault="007850D0">
      <w:pPr>
        <w:pStyle w:val="Standard"/>
      </w:pPr>
      <w:r>
        <w:rPr>
          <w:color w:val="000000"/>
        </w:rPr>
        <w:t>OAP-II.420.4.5.2024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Kraków, dnia 31 października 2024 roku  </w:t>
      </w:r>
    </w:p>
    <w:p w:rsidR="00E210CC" w:rsidRDefault="00E210CC">
      <w:pPr>
        <w:pStyle w:val="Standard"/>
        <w:rPr>
          <w:color w:val="000000"/>
        </w:rPr>
      </w:pPr>
    </w:p>
    <w:p w:rsidR="00E210CC" w:rsidRDefault="00E210CC">
      <w:pPr>
        <w:pStyle w:val="Standard"/>
        <w:ind w:firstLine="360"/>
        <w:jc w:val="both"/>
        <w:rPr>
          <w:color w:val="000000"/>
        </w:rPr>
      </w:pPr>
    </w:p>
    <w:p w:rsidR="00E210CC" w:rsidRDefault="00E210CC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E210CC" w:rsidRDefault="00E210CC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E210CC" w:rsidRDefault="007850D0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 xml:space="preserve">Szanowni Państwo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Patroni </w:t>
      </w:r>
      <w:r>
        <w:rPr>
          <w:b/>
          <w:color w:val="000000"/>
        </w:rPr>
        <w:t>Koordynatorzy</w:t>
      </w:r>
    </w:p>
    <w:p w:rsidR="00E210CC" w:rsidRDefault="007850D0">
      <w:pPr>
        <w:pStyle w:val="Standard"/>
        <w:spacing w:line="360" w:lineRule="auto"/>
        <w:ind w:left="3540" w:right="-567" w:firstLine="708"/>
      </w:pPr>
      <w:r>
        <w:rPr>
          <w:b/>
          <w:color w:val="000000"/>
        </w:rPr>
        <w:t xml:space="preserve"> oraz Patroni Praktyk</w:t>
      </w:r>
    </w:p>
    <w:p w:rsidR="00E210CC" w:rsidRDefault="007850D0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aplikantów aplikacji</w:t>
      </w:r>
    </w:p>
    <w:p w:rsidR="00E210CC" w:rsidRDefault="007850D0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uzupełniającej prokuratorskiej</w:t>
      </w:r>
    </w:p>
    <w:p w:rsidR="00E210CC" w:rsidRDefault="00E210CC">
      <w:pPr>
        <w:pStyle w:val="Standard"/>
        <w:spacing w:line="360" w:lineRule="auto"/>
        <w:jc w:val="right"/>
        <w:rPr>
          <w:b/>
          <w:color w:val="000000"/>
        </w:rPr>
      </w:pPr>
    </w:p>
    <w:p w:rsidR="00E210CC" w:rsidRDefault="007850D0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E210CC" w:rsidRDefault="007850D0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</w:p>
    <w:p w:rsidR="00E210CC" w:rsidRDefault="007850D0">
      <w:pPr>
        <w:pStyle w:val="Standard"/>
        <w:spacing w:line="360" w:lineRule="auto"/>
        <w:jc w:val="both"/>
      </w:pPr>
      <w:r>
        <w:rPr>
          <w:b/>
          <w:color w:val="000000"/>
          <w:u w:val="single"/>
        </w:rPr>
        <w:t>Dotyczy praktyk aplikantów V rocznika aplikacji uzupełniającej prokuratorskiej</w:t>
      </w:r>
      <w:r>
        <w:rPr>
          <w:b/>
          <w:color w:val="000000"/>
          <w:u w:val="single"/>
        </w:rPr>
        <w:br/>
      </w:r>
      <w:r>
        <w:rPr>
          <w:b/>
          <w:color w:val="000000"/>
          <w:u w:val="single"/>
        </w:rPr>
        <w:t xml:space="preserve"> po 16 zjeździe</w:t>
      </w:r>
    </w:p>
    <w:p w:rsidR="00E210CC" w:rsidRDefault="00E210CC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E210CC" w:rsidRDefault="00E210CC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E210CC" w:rsidRDefault="007850D0">
      <w:pPr>
        <w:pStyle w:val="Standard"/>
        <w:spacing w:line="360" w:lineRule="auto"/>
        <w:jc w:val="both"/>
      </w:pPr>
      <w:r>
        <w:rPr>
          <w:color w:val="000000"/>
        </w:rPr>
        <w:tab/>
        <w:t xml:space="preserve">W </w:t>
      </w:r>
      <w:r>
        <w:rPr>
          <w:color w:val="000000"/>
        </w:rPr>
        <w:t xml:space="preserve">oparciu o § 1 ust. 2  zarządzenia Dyrektora Krajowej Szkoły Sądownictwa </w:t>
      </w:r>
      <w:r>
        <w:rPr>
          <w:color w:val="000000"/>
        </w:rPr>
        <w:br/>
      </w:r>
      <w:r>
        <w:rPr>
          <w:color w:val="000000"/>
        </w:rPr>
        <w:t xml:space="preserve">i Prokuratury  w Krakowie Nr 539/2021 z dnia 27 października 2021 roku w sprawie szczegółowych zasad odbywania praktyki przez aplikantów aplikacji sędziowskiej </w:t>
      </w:r>
      <w:r>
        <w:rPr>
          <w:color w:val="000000"/>
        </w:rPr>
        <w:br/>
      </w:r>
      <w:r>
        <w:rPr>
          <w:color w:val="000000"/>
        </w:rPr>
        <w:t>i prokuratorskiej  zmi</w:t>
      </w:r>
      <w:r>
        <w:rPr>
          <w:color w:val="000000"/>
        </w:rPr>
        <w:t xml:space="preserve">enionego zarządzeniem Dyrektora Krajowej Szkoły Sądownictwa </w:t>
      </w:r>
      <w:r>
        <w:rPr>
          <w:color w:val="000000"/>
        </w:rPr>
        <w:br/>
      </w:r>
      <w:r>
        <w:rPr>
          <w:color w:val="000000"/>
        </w:rPr>
        <w:t>i Prokuratury w Krakowie Nr 9/2024 z dnia 12 stycznia 2024 roku w sprawie zmiany programu aplikacji uzupełniającej prokuratorskiej, uprzejmie przedstawiam szczegółowy zakres tematyczny, który pow</w:t>
      </w:r>
      <w:r>
        <w:rPr>
          <w:color w:val="000000"/>
        </w:rPr>
        <w:t xml:space="preserve">inien być przedmiotem praktyk aplikantów aplikacji uzupełniającej prokuratorskiej odbywanych w wymiarze </w:t>
      </w:r>
      <w:r>
        <w:rPr>
          <w:b/>
          <w:color w:val="000000"/>
        </w:rPr>
        <w:t>1 dnia w okresie od 3 do 7 marca 2025 roku oraz 1 dnia w okresie od 10 do 14 marca 2025 roku w prokuraturach rejonowych.</w:t>
      </w:r>
    </w:p>
    <w:p w:rsidR="00E210CC" w:rsidRDefault="00E210CC">
      <w:pPr>
        <w:pStyle w:val="Standard"/>
        <w:spacing w:line="360" w:lineRule="auto"/>
        <w:jc w:val="both"/>
        <w:rPr>
          <w:color w:val="C9211E"/>
        </w:rPr>
      </w:pPr>
    </w:p>
    <w:p w:rsidR="00E210CC" w:rsidRDefault="007850D0">
      <w:pPr>
        <w:pStyle w:val="Standard"/>
        <w:widowControl w:val="0"/>
        <w:spacing w:line="360" w:lineRule="auto"/>
        <w:jc w:val="both"/>
      </w:pPr>
      <w:r>
        <w:rPr>
          <w:rFonts w:eastAsia="Calibri" w:cs="Times, 'Times New Roman'"/>
          <w:color w:val="000000"/>
        </w:rPr>
        <w:tab/>
      </w:r>
      <w:r>
        <w:rPr>
          <w:rFonts w:eastAsia="Calibri" w:cs="Arial"/>
          <w:color w:val="000000"/>
        </w:rPr>
        <w:t>Celem praktyki jest sporządze</w:t>
      </w:r>
      <w:r>
        <w:rPr>
          <w:rFonts w:eastAsia="Calibri" w:cs="Arial"/>
          <w:color w:val="000000"/>
        </w:rPr>
        <w:t xml:space="preserve">nie projektów środków odwoławczych, zapoznanie aplikantów  z czynnościami prokuratora w postępowaniu odwoławczym, a także udział </w:t>
      </w:r>
      <w:r>
        <w:rPr>
          <w:rFonts w:eastAsia="Calibri" w:cs="Arial"/>
          <w:color w:val="000000"/>
        </w:rPr>
        <w:br/>
      </w:r>
      <w:r>
        <w:rPr>
          <w:rFonts w:eastAsia="Calibri" w:cs="Arial"/>
          <w:color w:val="000000"/>
        </w:rPr>
        <w:t>w rozprawach odwoławczych.</w:t>
      </w:r>
    </w:p>
    <w:p w:rsidR="00E210CC" w:rsidRDefault="007850D0">
      <w:pPr>
        <w:pStyle w:val="Standard"/>
        <w:spacing w:after="120" w:line="360" w:lineRule="auto"/>
        <w:ind w:firstLine="709"/>
        <w:jc w:val="both"/>
      </w:pPr>
      <w:r>
        <w:rPr>
          <w:rFonts w:cs="Arial"/>
          <w:b/>
          <w:color w:val="000000"/>
        </w:rPr>
        <w:t>Patroni praktyk winni zadbać, aby aplikanci:</w:t>
      </w:r>
    </w:p>
    <w:p w:rsidR="00E210CC" w:rsidRDefault="007850D0">
      <w:pPr>
        <w:pStyle w:val="Standard"/>
        <w:spacing w:line="360" w:lineRule="auto"/>
        <w:jc w:val="both"/>
      </w:pPr>
      <w:r>
        <w:rPr>
          <w:rFonts w:cs="Arial"/>
          <w:color w:val="000000"/>
        </w:rPr>
        <w:t xml:space="preserve">- sporządzili co najmniej </w:t>
      </w:r>
      <w:r>
        <w:rPr>
          <w:rFonts w:cs="Arial"/>
          <w:b/>
          <w:bCs/>
          <w:color w:val="000000"/>
        </w:rPr>
        <w:t>2 projekty zażalenia</w:t>
      </w:r>
      <w:r>
        <w:rPr>
          <w:rFonts w:cs="Arial"/>
          <w:color w:val="000000"/>
        </w:rPr>
        <w:t xml:space="preserve"> na post</w:t>
      </w:r>
      <w:r>
        <w:rPr>
          <w:rFonts w:cs="Arial"/>
          <w:color w:val="000000"/>
        </w:rPr>
        <w:t>anowienia sądu w sprawach karnych,</w:t>
      </w:r>
    </w:p>
    <w:p w:rsidR="00E210CC" w:rsidRDefault="007850D0">
      <w:pPr>
        <w:pStyle w:val="Standard"/>
        <w:spacing w:line="360" w:lineRule="auto"/>
        <w:jc w:val="both"/>
      </w:pPr>
      <w:r>
        <w:rPr>
          <w:rFonts w:cs="Arial"/>
          <w:color w:val="000000"/>
        </w:rPr>
        <w:t xml:space="preserve">-sporządzili co najmniej </w:t>
      </w:r>
      <w:r>
        <w:rPr>
          <w:rFonts w:cs="Arial"/>
          <w:b/>
          <w:bCs/>
          <w:color w:val="000000"/>
        </w:rPr>
        <w:t>2 projekty apelacji</w:t>
      </w:r>
      <w:r>
        <w:rPr>
          <w:rFonts w:cs="Arial"/>
          <w:color w:val="000000"/>
        </w:rPr>
        <w:t xml:space="preserve"> w sprawach karnych.</w:t>
      </w:r>
    </w:p>
    <w:p w:rsidR="00E210CC" w:rsidRDefault="00E210CC">
      <w:pPr>
        <w:pStyle w:val="Standard"/>
        <w:spacing w:line="360" w:lineRule="auto"/>
        <w:jc w:val="both"/>
        <w:rPr>
          <w:rFonts w:ascii="Times" w:hAnsi="Times" w:cs="Arial"/>
          <w:color w:val="C9211E"/>
        </w:rPr>
      </w:pPr>
    </w:p>
    <w:p w:rsidR="00E210CC" w:rsidRDefault="007850D0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ab/>
        <w:t xml:space="preserve">Niezależnie od powyższego aplikacji powinni mieć zapewniona możliwość udziału 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t xml:space="preserve">w oględzinach miejsc zdarzenia oraz uczestnictwa w rozprawach i </w:t>
      </w:r>
      <w:r>
        <w:rPr>
          <w:rFonts w:ascii="Times" w:hAnsi="Times" w:cs="Arial"/>
          <w:color w:val="000000"/>
        </w:rPr>
        <w:t>posiedzeniach sądu ( również w charakterze oskarżyciela publicznego, po ukończeniu  roku aplikacji).</w:t>
      </w:r>
    </w:p>
    <w:p w:rsidR="00E210CC" w:rsidRDefault="00E210CC">
      <w:pPr>
        <w:pStyle w:val="Standard"/>
        <w:spacing w:line="360" w:lineRule="auto"/>
        <w:jc w:val="both"/>
        <w:rPr>
          <w:rFonts w:ascii="Times" w:eastAsia="Calibri" w:hAnsi="Times" w:cs="Arial"/>
          <w:bCs/>
          <w:iCs/>
          <w:color w:val="000000"/>
          <w:lang w:eastAsia="en-US"/>
        </w:rPr>
      </w:pPr>
    </w:p>
    <w:p w:rsidR="00E210CC" w:rsidRDefault="007850D0">
      <w:pPr>
        <w:pStyle w:val="Standard"/>
        <w:spacing w:line="360" w:lineRule="auto"/>
        <w:jc w:val="both"/>
        <w:rPr>
          <w:rFonts w:ascii="Times" w:eastAsia="Calibri" w:hAnsi="Times" w:cs="Arial"/>
          <w:b/>
          <w:color w:val="000000"/>
        </w:rPr>
      </w:pPr>
      <w:r>
        <w:rPr>
          <w:rFonts w:ascii="Times" w:eastAsia="Calibri" w:hAnsi="Times" w:cs="Arial"/>
          <w:b/>
          <w:color w:val="000000"/>
        </w:rPr>
        <w:t>Praktyka powinna przygotować do sprawdzianu.</w:t>
      </w:r>
    </w:p>
    <w:p w:rsidR="00E210CC" w:rsidRDefault="00E210CC">
      <w:pPr>
        <w:pStyle w:val="Standard"/>
        <w:spacing w:line="360" w:lineRule="auto"/>
        <w:jc w:val="both"/>
        <w:rPr>
          <w:rFonts w:ascii="Times" w:eastAsia="Calibri" w:hAnsi="Times" w:cs="Arial"/>
          <w:b/>
          <w:color w:val="000000"/>
        </w:rPr>
      </w:pPr>
    </w:p>
    <w:p w:rsidR="00E210CC" w:rsidRDefault="007850D0">
      <w:pPr>
        <w:pStyle w:val="Standard"/>
        <w:widowControl w:val="0"/>
        <w:spacing w:line="360" w:lineRule="auto"/>
        <w:jc w:val="both"/>
      </w:pPr>
      <w:r>
        <w:rPr>
          <w:rFonts w:ascii="Times" w:eastAsia="Calibri" w:hAnsi="Times" w:cs="Arial"/>
          <w:b/>
          <w:color w:val="000000"/>
        </w:rPr>
        <w:tab/>
      </w:r>
      <w:r>
        <w:rPr>
          <w:rFonts w:ascii="Times" w:eastAsia="Calibri" w:hAnsi="Times" w:cs="Arial"/>
          <w:color w:val="000000"/>
        </w:rPr>
        <w:t xml:space="preserve">Przedmiotem sprawdzianu, który aplikanci będą pisać po odbyciu praktyk </w:t>
      </w:r>
      <w:r>
        <w:rPr>
          <w:rFonts w:ascii="Times" w:eastAsia="Calibri" w:hAnsi="Times" w:cs="Arial"/>
          <w:color w:val="000000"/>
        </w:rPr>
        <w:br/>
      </w:r>
      <w:r>
        <w:rPr>
          <w:rFonts w:ascii="Times" w:eastAsia="Calibri" w:hAnsi="Times" w:cs="Arial"/>
          <w:color w:val="000000"/>
        </w:rPr>
        <w:t>po 16 zjeździe, tj. w dniu 15 marca</w:t>
      </w:r>
      <w:r>
        <w:rPr>
          <w:rFonts w:ascii="Times" w:eastAsia="Calibri" w:hAnsi="Times" w:cs="Arial"/>
          <w:color w:val="000000"/>
        </w:rPr>
        <w:t xml:space="preserve"> 2025 roku będzie sporządzenie projektu apelacji </w:t>
      </w:r>
      <w:r>
        <w:rPr>
          <w:rFonts w:ascii="Times" w:eastAsia="Calibri" w:hAnsi="Times" w:cs="Arial"/>
          <w:color w:val="000000"/>
        </w:rPr>
        <w:br/>
      </w:r>
      <w:r>
        <w:rPr>
          <w:rFonts w:ascii="Times" w:eastAsia="Calibri" w:hAnsi="Times" w:cs="Arial"/>
          <w:color w:val="000000"/>
        </w:rPr>
        <w:t>w sprawie karnej albo stanowiska w sprawie odstąpienia od jej sporządzenia.</w:t>
      </w:r>
    </w:p>
    <w:p w:rsidR="00E210CC" w:rsidRDefault="00E210CC">
      <w:pPr>
        <w:pStyle w:val="Standard"/>
        <w:spacing w:line="360" w:lineRule="auto"/>
        <w:jc w:val="both"/>
        <w:rPr>
          <w:rFonts w:cs="Arial"/>
          <w:color w:val="C9211E"/>
        </w:rPr>
      </w:pPr>
    </w:p>
    <w:p w:rsidR="00E210CC" w:rsidRDefault="007850D0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Kierownik</w:t>
      </w:r>
    </w:p>
    <w:p w:rsidR="00E210CC" w:rsidRDefault="007850D0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Działu Dydaktycznego</w:t>
      </w:r>
    </w:p>
    <w:p w:rsidR="00E210CC" w:rsidRDefault="007850D0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Ośrodku Aplikacji Prokuratorskiej</w:t>
      </w:r>
    </w:p>
    <w:p w:rsidR="00E210CC" w:rsidRDefault="007850D0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Krajowej Szkoły Sądownictwa i Prokuratury</w:t>
      </w:r>
    </w:p>
    <w:p w:rsidR="00E210CC" w:rsidRDefault="00E210CC">
      <w:pPr>
        <w:pStyle w:val="Standard"/>
        <w:spacing w:line="360" w:lineRule="auto"/>
        <w:ind w:left="3540"/>
        <w:jc w:val="center"/>
        <w:rPr>
          <w:b/>
          <w:color w:val="000000"/>
        </w:rPr>
      </w:pPr>
    </w:p>
    <w:p w:rsidR="00E210CC" w:rsidRDefault="007850D0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Mariusz Kowal</w:t>
      </w:r>
    </w:p>
    <w:p w:rsidR="00E210CC" w:rsidRDefault="007850D0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>prokurator</w:t>
      </w:r>
    </w:p>
    <w:p w:rsidR="00E210CC" w:rsidRDefault="00E210CC">
      <w:pPr>
        <w:pStyle w:val="Standard"/>
        <w:spacing w:line="360" w:lineRule="auto"/>
        <w:jc w:val="both"/>
        <w:rPr>
          <w:color w:val="C9211E"/>
        </w:rPr>
      </w:pPr>
    </w:p>
    <w:p w:rsidR="00E210CC" w:rsidRDefault="00E210CC">
      <w:pPr>
        <w:pStyle w:val="Standard"/>
        <w:spacing w:before="120" w:after="120"/>
        <w:ind w:left="4111"/>
        <w:jc w:val="center"/>
        <w:rPr>
          <w:b/>
          <w:i/>
          <w:color w:val="C9211E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E210CC" w:rsidRDefault="00E210CC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E210CC" w:rsidRDefault="00E210CC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E210CC" w:rsidRDefault="00E210CC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E210CC" w:rsidRDefault="00E210CC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E210CC" w:rsidRDefault="007850D0">
      <w:pPr>
        <w:pStyle w:val="Standard"/>
        <w:spacing w:line="360" w:lineRule="auto"/>
        <w:jc w:val="both"/>
      </w:pPr>
      <w:r>
        <w:rPr>
          <w:rFonts w:ascii="Times" w:hAnsi="Times" w:cs="Times, 'Times New Roman'"/>
          <w:b/>
          <w:color w:val="000000"/>
        </w:rPr>
        <w:lastRenderedPageBreak/>
        <w:t>Załącznik do zaleceń do praktyk po 16 zjeździe V rocznika aplikacji uzupełniającej prokuratorskiej.</w:t>
      </w:r>
    </w:p>
    <w:p w:rsidR="00E210CC" w:rsidRDefault="007850D0">
      <w:pPr>
        <w:pStyle w:val="Standard"/>
        <w:spacing w:before="647" w:line="360" w:lineRule="auto"/>
      </w:pPr>
      <w:r>
        <w:rPr>
          <w:rFonts w:cs="Arial"/>
          <w:b/>
          <w:color w:val="000000"/>
          <w:spacing w:val="-1"/>
          <w:lang w:eastAsia="en-US"/>
        </w:rPr>
        <w:t>Prawo</w:t>
      </w:r>
      <w:r>
        <w:rPr>
          <w:rFonts w:cs="Arial"/>
          <w:b/>
          <w:color w:val="000000"/>
          <w:spacing w:val="3"/>
          <w:lang w:eastAsia="en-US"/>
        </w:rPr>
        <w:t xml:space="preserve"> </w:t>
      </w:r>
      <w:r>
        <w:rPr>
          <w:rFonts w:cs="Arial"/>
          <w:b/>
          <w:color w:val="000000"/>
          <w:spacing w:val="-1"/>
          <w:lang w:eastAsia="en-US"/>
        </w:rPr>
        <w:t>karne</w:t>
      </w:r>
      <w:r>
        <w:rPr>
          <w:rFonts w:cs="Arial"/>
          <w:b/>
          <w:color w:val="000000"/>
          <w:spacing w:val="3"/>
          <w:lang w:eastAsia="en-US"/>
        </w:rPr>
        <w:t xml:space="preserve"> </w:t>
      </w:r>
      <w:r>
        <w:rPr>
          <w:rFonts w:cs="Arial"/>
          <w:b/>
          <w:color w:val="000000"/>
          <w:lang w:eastAsia="en-US"/>
        </w:rPr>
        <w:t>procesowe</w:t>
      </w:r>
    </w:p>
    <w:p w:rsidR="00E210CC" w:rsidRDefault="007850D0">
      <w:pPr>
        <w:pStyle w:val="Standard"/>
        <w:spacing w:before="252" w:line="360" w:lineRule="auto"/>
        <w:jc w:val="both"/>
      </w:pPr>
      <w:r>
        <w:rPr>
          <w:rFonts w:cs="Arial"/>
          <w:color w:val="000000"/>
          <w:lang w:eastAsia="en-US"/>
        </w:rPr>
        <w:t>Postępowanie</w:t>
      </w:r>
      <w:r>
        <w:rPr>
          <w:rFonts w:cs="Arial"/>
          <w:color w:val="000000"/>
          <w:spacing w:val="31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odwoławcze.</w:t>
      </w:r>
      <w:r>
        <w:rPr>
          <w:rFonts w:cs="Arial"/>
          <w:color w:val="000000"/>
          <w:spacing w:val="3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Zaskarżanie</w:t>
      </w:r>
      <w:r>
        <w:rPr>
          <w:rFonts w:cs="Arial"/>
          <w:color w:val="000000"/>
          <w:spacing w:val="31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orzeczeń</w:t>
      </w:r>
      <w:r>
        <w:rPr>
          <w:rFonts w:cs="Arial"/>
          <w:color w:val="000000"/>
          <w:spacing w:val="26"/>
          <w:lang w:eastAsia="en-US"/>
        </w:rPr>
        <w:t xml:space="preserve"> </w:t>
      </w:r>
      <w:r>
        <w:rPr>
          <w:rFonts w:cs="Arial"/>
          <w:b/>
          <w:color w:val="000000"/>
          <w:lang w:eastAsia="en-US"/>
        </w:rPr>
        <w:t>–</w:t>
      </w:r>
      <w:r>
        <w:rPr>
          <w:rFonts w:cs="Arial"/>
          <w:b/>
          <w:color w:val="000000"/>
          <w:spacing w:val="31"/>
          <w:lang w:eastAsia="en-US"/>
        </w:rPr>
        <w:t xml:space="preserve"> </w:t>
      </w:r>
      <w:r>
        <w:rPr>
          <w:rFonts w:cs="Arial"/>
          <w:color w:val="000000"/>
          <w:spacing w:val="-1"/>
          <w:lang w:eastAsia="en-US"/>
        </w:rPr>
        <w:t>postępowanie</w:t>
      </w:r>
      <w:r>
        <w:rPr>
          <w:rFonts w:cs="Arial"/>
          <w:color w:val="000000"/>
          <w:spacing w:val="31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apelacyjne</w:t>
      </w:r>
      <w:r>
        <w:rPr>
          <w:rFonts w:cs="Arial"/>
          <w:color w:val="000000"/>
          <w:spacing w:val="35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i</w:t>
      </w:r>
      <w:r>
        <w:rPr>
          <w:rFonts w:cs="Arial"/>
          <w:color w:val="000000"/>
          <w:spacing w:val="-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zażaleniowe.</w:t>
      </w:r>
    </w:p>
    <w:p w:rsidR="00E210CC" w:rsidRDefault="007850D0">
      <w:pPr>
        <w:pStyle w:val="Standard"/>
        <w:spacing w:before="137" w:line="360" w:lineRule="auto"/>
        <w:jc w:val="both"/>
      </w:pPr>
      <w:r>
        <w:rPr>
          <w:rFonts w:cs="Arial"/>
          <w:color w:val="000000"/>
          <w:lang w:eastAsia="en-US"/>
        </w:rPr>
        <w:t>Ocena</w:t>
      </w:r>
      <w:r>
        <w:rPr>
          <w:rFonts w:cs="Arial"/>
          <w:color w:val="000000"/>
          <w:spacing w:val="103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orzeczenia</w:t>
      </w:r>
      <w:r>
        <w:rPr>
          <w:rFonts w:cs="Arial"/>
          <w:color w:val="000000"/>
          <w:spacing w:val="107"/>
          <w:lang w:eastAsia="en-US"/>
        </w:rPr>
        <w:t xml:space="preserve"> </w:t>
      </w:r>
      <w:r>
        <w:rPr>
          <w:rFonts w:cs="Arial"/>
          <w:color w:val="000000"/>
          <w:spacing w:val="-1"/>
          <w:lang w:eastAsia="en-US"/>
        </w:rPr>
        <w:t>sądu</w:t>
      </w:r>
      <w:r>
        <w:rPr>
          <w:rFonts w:cs="Arial"/>
          <w:color w:val="000000"/>
          <w:spacing w:val="10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I</w:t>
      </w:r>
      <w:r>
        <w:rPr>
          <w:rFonts w:cs="Arial"/>
          <w:color w:val="000000"/>
          <w:spacing w:val="6"/>
          <w:lang w:eastAsia="en-US"/>
        </w:rPr>
        <w:t xml:space="preserve"> </w:t>
      </w:r>
      <w:r>
        <w:rPr>
          <w:rFonts w:cs="Arial"/>
          <w:color w:val="000000"/>
          <w:spacing w:val="-1"/>
          <w:lang w:eastAsia="en-US"/>
        </w:rPr>
        <w:t>instancji,</w:t>
      </w:r>
      <w:r>
        <w:rPr>
          <w:rFonts w:cs="Arial"/>
          <w:color w:val="000000"/>
          <w:spacing w:val="107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terminy.</w:t>
      </w:r>
      <w:r>
        <w:rPr>
          <w:rFonts w:cs="Arial"/>
          <w:color w:val="000000"/>
          <w:spacing w:val="106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Granice</w:t>
      </w:r>
      <w:r>
        <w:rPr>
          <w:rFonts w:cs="Arial"/>
          <w:color w:val="000000"/>
          <w:spacing w:val="107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i</w:t>
      </w:r>
      <w:r>
        <w:rPr>
          <w:rFonts w:cs="Arial"/>
          <w:color w:val="000000"/>
          <w:spacing w:val="-4"/>
          <w:lang w:eastAsia="en-US"/>
        </w:rPr>
        <w:t xml:space="preserve"> </w:t>
      </w:r>
      <w:r>
        <w:rPr>
          <w:rFonts w:cs="Arial"/>
          <w:color w:val="000000"/>
          <w:spacing w:val="-1"/>
          <w:lang w:eastAsia="en-US"/>
        </w:rPr>
        <w:t>kierunek</w:t>
      </w:r>
      <w:r>
        <w:rPr>
          <w:rFonts w:cs="Arial"/>
          <w:color w:val="000000"/>
          <w:spacing w:val="108"/>
          <w:lang w:eastAsia="en-US"/>
        </w:rPr>
        <w:t xml:space="preserve"> </w:t>
      </w:r>
      <w:r>
        <w:rPr>
          <w:rFonts w:cs="Arial"/>
          <w:color w:val="000000"/>
          <w:spacing w:val="1"/>
          <w:lang w:eastAsia="en-US"/>
        </w:rPr>
        <w:t>środka</w:t>
      </w:r>
      <w:r>
        <w:rPr>
          <w:rFonts w:cs="Arial"/>
          <w:color w:val="000000"/>
          <w:spacing w:val="102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odwoławczego.</w:t>
      </w:r>
    </w:p>
    <w:p w:rsidR="00E210CC" w:rsidRDefault="007850D0">
      <w:pPr>
        <w:pStyle w:val="Standard"/>
        <w:spacing w:before="142" w:line="360" w:lineRule="auto"/>
        <w:jc w:val="both"/>
      </w:pPr>
      <w:r>
        <w:rPr>
          <w:rFonts w:cs="Arial"/>
          <w:color w:val="000000"/>
          <w:lang w:eastAsia="en-US"/>
        </w:rPr>
        <w:t>Podstawy</w:t>
      </w:r>
      <w:r>
        <w:rPr>
          <w:rFonts w:cs="Arial"/>
          <w:color w:val="000000"/>
          <w:spacing w:val="19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odwoławcze.</w:t>
      </w:r>
      <w:r>
        <w:rPr>
          <w:rFonts w:cs="Arial"/>
          <w:color w:val="000000"/>
          <w:spacing w:val="206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Sporządzanie</w:t>
      </w:r>
      <w:r>
        <w:rPr>
          <w:rFonts w:cs="Arial"/>
          <w:color w:val="000000"/>
          <w:spacing w:val="20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apelacji</w:t>
      </w:r>
      <w:r>
        <w:rPr>
          <w:rFonts w:cs="Arial"/>
          <w:color w:val="000000"/>
          <w:spacing w:val="196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i</w:t>
      </w:r>
      <w:r>
        <w:rPr>
          <w:rFonts w:cs="Arial"/>
          <w:color w:val="000000"/>
          <w:spacing w:val="2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zażaleń.</w:t>
      </w:r>
      <w:r>
        <w:rPr>
          <w:rFonts w:cs="Arial"/>
          <w:color w:val="000000"/>
          <w:spacing w:val="206"/>
          <w:lang w:eastAsia="en-US"/>
        </w:rPr>
        <w:t xml:space="preserve"> </w:t>
      </w:r>
      <w:r>
        <w:rPr>
          <w:rFonts w:cs="Arial"/>
          <w:color w:val="000000"/>
          <w:spacing w:val="-1"/>
          <w:lang w:eastAsia="en-US"/>
        </w:rPr>
        <w:t>Przebieg</w:t>
      </w:r>
      <w:r>
        <w:rPr>
          <w:rFonts w:cs="Arial"/>
          <w:color w:val="000000"/>
          <w:spacing w:val="204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postępowania odwoławczego.</w:t>
      </w:r>
      <w:r>
        <w:rPr>
          <w:rFonts w:cs="Arial"/>
          <w:color w:val="000000"/>
          <w:spacing w:val="240"/>
          <w:lang w:eastAsia="en-US"/>
        </w:rPr>
        <w:t xml:space="preserve"> </w:t>
      </w:r>
      <w:r>
        <w:rPr>
          <w:rFonts w:cs="Arial"/>
          <w:color w:val="000000"/>
          <w:spacing w:val="-2"/>
          <w:lang w:eastAsia="en-US"/>
        </w:rPr>
        <w:t>Ocena</w:t>
      </w:r>
      <w:r>
        <w:rPr>
          <w:rFonts w:cs="Arial"/>
          <w:color w:val="000000"/>
          <w:spacing w:val="243"/>
          <w:lang w:eastAsia="en-US"/>
        </w:rPr>
        <w:t xml:space="preserve"> </w:t>
      </w:r>
      <w:r>
        <w:rPr>
          <w:rFonts w:cs="Arial"/>
          <w:color w:val="000000"/>
          <w:spacing w:val="1"/>
          <w:lang w:eastAsia="en-US"/>
        </w:rPr>
        <w:t>zasadności</w:t>
      </w:r>
      <w:r>
        <w:rPr>
          <w:rFonts w:cs="Arial"/>
          <w:color w:val="000000"/>
          <w:spacing w:val="233"/>
          <w:lang w:eastAsia="en-US"/>
        </w:rPr>
        <w:t xml:space="preserve"> </w:t>
      </w:r>
      <w:r>
        <w:rPr>
          <w:rFonts w:cs="Arial"/>
          <w:color w:val="000000"/>
          <w:spacing w:val="2"/>
          <w:lang w:eastAsia="en-US"/>
        </w:rPr>
        <w:t>środków</w:t>
      </w:r>
      <w:r>
        <w:rPr>
          <w:rFonts w:cs="Arial"/>
          <w:color w:val="000000"/>
          <w:spacing w:val="231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odwoławczych</w:t>
      </w:r>
      <w:r>
        <w:rPr>
          <w:rFonts w:cs="Arial"/>
          <w:color w:val="000000"/>
          <w:spacing w:val="242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innych</w:t>
      </w:r>
      <w:r>
        <w:rPr>
          <w:rFonts w:cs="Arial"/>
          <w:color w:val="000000"/>
          <w:spacing w:val="233"/>
          <w:lang w:eastAsia="en-US"/>
        </w:rPr>
        <w:t xml:space="preserve"> </w:t>
      </w:r>
      <w:r>
        <w:rPr>
          <w:rFonts w:cs="Arial"/>
          <w:color w:val="000000"/>
          <w:spacing w:val="1"/>
          <w:lang w:eastAsia="en-US"/>
        </w:rPr>
        <w:t>uczestników</w:t>
      </w:r>
      <w:r>
        <w:rPr>
          <w:rFonts w:cs="Arial"/>
          <w:color w:val="000000"/>
          <w:lang w:eastAsia="en-US"/>
        </w:rPr>
        <w:t xml:space="preserve"> postępowania.</w:t>
      </w:r>
      <w:r>
        <w:rPr>
          <w:rFonts w:cs="Arial"/>
          <w:color w:val="000000"/>
          <w:spacing w:val="5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Rodzaje</w:t>
      </w:r>
      <w:r>
        <w:rPr>
          <w:rFonts w:cs="Arial"/>
          <w:color w:val="000000"/>
          <w:spacing w:val="2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rozstrzygnięć</w:t>
      </w:r>
      <w:r>
        <w:rPr>
          <w:rFonts w:cs="Arial"/>
          <w:color w:val="000000"/>
          <w:spacing w:val="2"/>
          <w:lang w:eastAsia="en-US"/>
        </w:rPr>
        <w:t xml:space="preserve"> </w:t>
      </w:r>
      <w:r>
        <w:rPr>
          <w:rFonts w:cs="Arial"/>
          <w:color w:val="000000"/>
          <w:spacing w:val="1"/>
          <w:lang w:eastAsia="en-US"/>
        </w:rPr>
        <w:t>sądu</w:t>
      </w:r>
      <w:r>
        <w:rPr>
          <w:rFonts w:cs="Arial"/>
          <w:color w:val="000000"/>
          <w:spacing w:val="2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odwoławczego.</w:t>
      </w:r>
    </w:p>
    <w:p w:rsidR="00E210CC" w:rsidRDefault="00E210CC">
      <w:pPr>
        <w:pStyle w:val="Standard"/>
        <w:spacing w:after="200" w:line="360" w:lineRule="auto"/>
        <w:jc w:val="both"/>
        <w:rPr>
          <w:rFonts w:ascii="Arial" w:hAnsi="Arial" w:cs="Arial"/>
          <w:color w:val="000000"/>
          <w:lang w:eastAsia="en-US"/>
        </w:rPr>
      </w:pPr>
    </w:p>
    <w:sectPr w:rsidR="00E210CC">
      <w:headerReference w:type="default" r:id="rId6"/>
      <w:footerReference w:type="default" r:id="rId7"/>
      <w:pgSz w:w="11906" w:h="16838"/>
      <w:pgMar w:top="1418" w:right="1418" w:bottom="1560" w:left="1418" w:header="568" w:footer="4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0D0" w:rsidRDefault="007850D0">
      <w:pPr>
        <w:rPr>
          <w:rFonts w:hint="eastAsia"/>
        </w:rPr>
      </w:pPr>
      <w:r>
        <w:separator/>
      </w:r>
    </w:p>
  </w:endnote>
  <w:endnote w:type="continuationSeparator" w:id="0">
    <w:p w:rsidR="007850D0" w:rsidRDefault="007850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A1" w:rsidRDefault="00785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0D0" w:rsidRDefault="007850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50D0" w:rsidRDefault="007850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A1" w:rsidRDefault="007850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10CC"/>
    <w:rsid w:val="007850D0"/>
    <w:rsid w:val="00BD3317"/>
    <w:rsid w:val="00E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E77AD-2DCA-427B-8D85-040C384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  <w:pPr>
      <w:jc w:val="center"/>
    </w:pPr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widowControl/>
      <w:suppressAutoHyphens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7z0">
    <w:name w:val="WW8Num7z0"/>
    <w:rPr>
      <w:i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u w:val="single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b/>
      <w:u w:val="none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Piotr Woicki</cp:lastModifiedBy>
  <cp:revision>2</cp:revision>
  <cp:lastPrinted>2019-03-27T14:33:00Z</cp:lastPrinted>
  <dcterms:created xsi:type="dcterms:W3CDTF">2024-11-21T13:53:00Z</dcterms:created>
  <dcterms:modified xsi:type="dcterms:W3CDTF">2024-11-21T13:53:00Z</dcterms:modified>
</cp:coreProperties>
</file>