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3A" w:rsidRPr="007B16E2" w:rsidRDefault="00AA763A" w:rsidP="007C79A0">
      <w:pPr>
        <w:pStyle w:val="Nagwek1"/>
        <w:spacing w:before="0" w:after="0" w:line="336" w:lineRule="auto"/>
        <w:rPr>
          <w:rFonts w:ascii="Times New Roman" w:hAnsi="Times New Roman"/>
          <w:sz w:val="24"/>
          <w:szCs w:val="24"/>
        </w:rPr>
      </w:pPr>
    </w:p>
    <w:p w:rsidR="006A35F2" w:rsidRPr="007B16E2" w:rsidRDefault="006A35F2" w:rsidP="007C79A0">
      <w:pPr>
        <w:tabs>
          <w:tab w:val="left" w:pos="3119"/>
        </w:tabs>
        <w:spacing w:line="336" w:lineRule="auto"/>
        <w:jc w:val="both"/>
      </w:pPr>
      <w:r w:rsidRPr="007B16E2">
        <w:t>OAS-II.420.</w:t>
      </w:r>
      <w:r w:rsidR="007B16E2">
        <w:t>16.2024</w:t>
      </w:r>
    </w:p>
    <w:p w:rsidR="006A35F2" w:rsidRPr="007B16E2" w:rsidRDefault="006A35F2" w:rsidP="007C79A0">
      <w:pPr>
        <w:spacing w:line="336" w:lineRule="auto"/>
      </w:pPr>
      <w:r w:rsidRPr="007B16E2">
        <w:t xml:space="preserve">                                                                           </w:t>
      </w:r>
    </w:p>
    <w:p w:rsidR="006A35F2" w:rsidRPr="007B16E2" w:rsidRDefault="006A35F2" w:rsidP="007C79A0">
      <w:pPr>
        <w:spacing w:line="336" w:lineRule="auto"/>
        <w:jc w:val="right"/>
      </w:pPr>
      <w:r w:rsidRPr="007B16E2">
        <w:t xml:space="preserve">Kraków, </w:t>
      </w:r>
      <w:r w:rsidR="007B16E2">
        <w:t>10</w:t>
      </w:r>
      <w:r w:rsidRPr="007B16E2">
        <w:t xml:space="preserve"> maja 2024 r.</w:t>
      </w:r>
    </w:p>
    <w:p w:rsidR="006A35F2" w:rsidRPr="007B16E2" w:rsidRDefault="006A35F2" w:rsidP="007C79A0">
      <w:pPr>
        <w:spacing w:line="336" w:lineRule="auto"/>
        <w:jc w:val="both"/>
        <w:rPr>
          <w:i/>
          <w:iCs/>
        </w:rPr>
      </w:pPr>
    </w:p>
    <w:p w:rsidR="006A35F2" w:rsidRPr="007B16E2" w:rsidRDefault="006A35F2" w:rsidP="007C79A0">
      <w:pPr>
        <w:spacing w:line="336" w:lineRule="auto"/>
        <w:jc w:val="both"/>
        <w:rPr>
          <w:i/>
          <w:iCs/>
        </w:rPr>
      </w:pPr>
      <w:r w:rsidRPr="007B16E2">
        <w:rPr>
          <w:i/>
          <w:iCs/>
        </w:rPr>
        <w:t xml:space="preserve">Dot. praktyk aplikantów XIV rocznika aplikacji sędziowskiej po 20 zjeździe odbywanych </w:t>
      </w:r>
      <w:r w:rsidRPr="007B16E2">
        <w:rPr>
          <w:b/>
          <w:i/>
          <w:iCs/>
        </w:rPr>
        <w:t>w sądzie okręgowym.</w:t>
      </w:r>
    </w:p>
    <w:p w:rsidR="006A35F2" w:rsidRPr="007B16E2" w:rsidRDefault="006A35F2" w:rsidP="007C79A0">
      <w:pPr>
        <w:spacing w:line="336" w:lineRule="auto"/>
        <w:rPr>
          <w:b/>
          <w:bCs/>
        </w:rPr>
      </w:pPr>
    </w:p>
    <w:p w:rsidR="006A35F2" w:rsidRPr="007B16E2" w:rsidRDefault="006A35F2" w:rsidP="007C79A0">
      <w:pPr>
        <w:spacing w:line="336" w:lineRule="auto"/>
        <w:ind w:left="4956"/>
        <w:rPr>
          <w:b/>
        </w:rPr>
      </w:pPr>
      <w:r w:rsidRPr="007B16E2">
        <w:rPr>
          <w:b/>
        </w:rPr>
        <w:t>Do</w:t>
      </w:r>
    </w:p>
    <w:p w:rsidR="006A35F2" w:rsidRPr="007B16E2" w:rsidRDefault="006A35F2" w:rsidP="007C79A0">
      <w:pPr>
        <w:spacing w:line="336" w:lineRule="auto"/>
        <w:ind w:left="4956"/>
        <w:rPr>
          <w:b/>
        </w:rPr>
      </w:pPr>
      <w:r w:rsidRPr="007B16E2">
        <w:rPr>
          <w:b/>
        </w:rPr>
        <w:t>Patronów praktyk</w:t>
      </w:r>
    </w:p>
    <w:p w:rsidR="006A35F2" w:rsidRPr="007B16E2" w:rsidRDefault="006A35F2" w:rsidP="007C79A0">
      <w:pPr>
        <w:spacing w:line="336" w:lineRule="auto"/>
        <w:ind w:left="4956"/>
        <w:rPr>
          <w:b/>
        </w:rPr>
      </w:pPr>
      <w:r w:rsidRPr="007B16E2">
        <w:rPr>
          <w:b/>
        </w:rPr>
        <w:t>oraz Patronów koordynatorów</w:t>
      </w:r>
    </w:p>
    <w:p w:rsidR="006A35F2" w:rsidRPr="007B16E2" w:rsidRDefault="006A35F2" w:rsidP="007C79A0">
      <w:pPr>
        <w:spacing w:line="336" w:lineRule="auto"/>
        <w:ind w:left="4956"/>
        <w:rPr>
          <w:b/>
        </w:rPr>
      </w:pPr>
      <w:r w:rsidRPr="007B16E2">
        <w:rPr>
          <w:b/>
        </w:rPr>
        <w:t xml:space="preserve">aplikantów aplikacji sędziowskiej </w:t>
      </w:r>
    </w:p>
    <w:p w:rsidR="008C6A09" w:rsidRPr="007B16E2" w:rsidRDefault="008C6A09" w:rsidP="007C79A0">
      <w:pPr>
        <w:spacing w:after="60" w:line="336" w:lineRule="auto"/>
        <w:ind w:firstLine="708"/>
        <w:jc w:val="both"/>
      </w:pPr>
    </w:p>
    <w:p w:rsidR="000376B8" w:rsidRPr="007B16E2" w:rsidRDefault="006A35F2" w:rsidP="007C79A0">
      <w:pPr>
        <w:spacing w:after="60" w:line="336" w:lineRule="auto"/>
        <w:ind w:firstLine="708"/>
        <w:jc w:val="both"/>
        <w:rPr>
          <w:b/>
        </w:rPr>
      </w:pPr>
      <w:r w:rsidRPr="007B16E2">
        <w:t xml:space="preserve">Uprzejmie przedstawiam szczegółowy zakres tematyczny, który winien być przedmiotem praktyk aplikantów aplikacji sędziowskiej po 18 zjeździe odbywanych </w:t>
      </w:r>
      <w:r w:rsidRPr="007B16E2">
        <w:rPr>
          <w:b/>
          <w:u w:val="single"/>
        </w:rPr>
        <w:t>od 15 do 26 lipca 2024 r.</w:t>
      </w:r>
      <w:r w:rsidRPr="007B16E2">
        <w:t xml:space="preserve"> </w:t>
      </w:r>
      <w:r w:rsidR="000376B8" w:rsidRPr="007B16E2">
        <w:rPr>
          <w:b/>
        </w:rPr>
        <w:t xml:space="preserve">w sądzie okręgowym – wydziale cywilnym odwoławczym. </w:t>
      </w:r>
    </w:p>
    <w:p w:rsidR="00AA763A" w:rsidRPr="007B16E2" w:rsidRDefault="00AA763A" w:rsidP="007C79A0">
      <w:pPr>
        <w:spacing w:after="60" w:line="336" w:lineRule="auto"/>
        <w:ind w:firstLine="708"/>
        <w:jc w:val="both"/>
      </w:pPr>
      <w:r w:rsidRPr="007B16E2">
        <w:t>Założeniem praktyki, co do zasady, jest zaznajomie</w:t>
      </w:r>
      <w:r w:rsidR="006637CA" w:rsidRPr="007B16E2">
        <w:t>nie aplikantów z czynnościami i </w:t>
      </w:r>
      <w:r w:rsidRPr="007B16E2">
        <w:t>metodyką pracy sędziego oraz doskonalenie umiejętności wyko</w:t>
      </w:r>
      <w:r w:rsidR="006637CA" w:rsidRPr="007B16E2">
        <w:t>rzystania wiedzy teoretycznej i </w:t>
      </w:r>
      <w:r w:rsidRPr="007B16E2">
        <w:t xml:space="preserve">znajomości orzecznictwa. Praktyka winna utrwalać wiedzę zdobytą przez aplikanta podczas bezpośrednio poprzedzających ją zajęć seminaryjnych w ramach zjazdu. </w:t>
      </w:r>
    </w:p>
    <w:p w:rsidR="00203A5D" w:rsidRPr="007B16E2" w:rsidRDefault="00203A5D" w:rsidP="007C79A0">
      <w:pPr>
        <w:spacing w:after="60" w:line="336" w:lineRule="auto"/>
        <w:ind w:firstLine="709"/>
        <w:jc w:val="both"/>
      </w:pPr>
      <w:r w:rsidRPr="007B16E2">
        <w:t xml:space="preserve">Zgodnie z programem aplikacji sędziowskiej realizowanym przez aplikantów XIV rocznika tej aplikacji, przedmiot 18 zjazdu obejmuje „Uzasadnianie orzeczeń, środki zaskarżenia, wznowienie postępowania”. </w:t>
      </w:r>
    </w:p>
    <w:p w:rsidR="009743D5" w:rsidRPr="007B16E2" w:rsidRDefault="009743D5" w:rsidP="007C79A0">
      <w:pPr>
        <w:spacing w:after="60" w:line="336" w:lineRule="auto"/>
        <w:ind w:firstLine="709"/>
        <w:jc w:val="both"/>
      </w:pPr>
      <w:r w:rsidRPr="007B16E2">
        <w:t xml:space="preserve">Z uwagi na zakres tematyczny </w:t>
      </w:r>
      <w:r w:rsidR="006637CA" w:rsidRPr="007B16E2">
        <w:t>20</w:t>
      </w:r>
      <w:r w:rsidRPr="007B16E2">
        <w:t xml:space="preserve"> zjazdu należy poświęcić szczególną uwagę </w:t>
      </w:r>
      <w:r w:rsidRPr="007B16E2">
        <w:rPr>
          <w:b/>
          <w:bCs/>
        </w:rPr>
        <w:t>zagadnieni</w:t>
      </w:r>
      <w:r w:rsidR="00E720AD" w:rsidRPr="007B16E2">
        <w:rPr>
          <w:b/>
          <w:bCs/>
        </w:rPr>
        <w:t xml:space="preserve">om </w:t>
      </w:r>
      <w:r w:rsidRPr="007B16E2">
        <w:rPr>
          <w:b/>
          <w:bCs/>
        </w:rPr>
        <w:t>obejmują</w:t>
      </w:r>
      <w:r w:rsidR="00E720AD" w:rsidRPr="007B16E2">
        <w:rPr>
          <w:b/>
          <w:bCs/>
        </w:rPr>
        <w:t>cym</w:t>
      </w:r>
      <w:r w:rsidRPr="007B16E2">
        <w:rPr>
          <w:b/>
          <w:bCs/>
        </w:rPr>
        <w:t>:</w:t>
      </w:r>
      <w:r w:rsidRPr="007B16E2">
        <w:t xml:space="preserve"> </w:t>
      </w:r>
    </w:p>
    <w:p w:rsidR="00203A5D" w:rsidRPr="007B16E2" w:rsidRDefault="00203A5D" w:rsidP="007C79A0">
      <w:pPr>
        <w:pStyle w:val="Akapitzlist"/>
        <w:numPr>
          <w:ilvl w:val="0"/>
          <w:numId w:val="17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16E2">
        <w:rPr>
          <w:rFonts w:ascii="Times New Roman" w:hAnsi="Times New Roman"/>
          <w:sz w:val="24"/>
          <w:szCs w:val="24"/>
        </w:rPr>
        <w:t>formułowanie orzeczeń kończących postępowanie apelacyjne;</w:t>
      </w:r>
    </w:p>
    <w:p w:rsidR="009743D5" w:rsidRPr="007B16E2" w:rsidRDefault="009743D5" w:rsidP="007C79A0">
      <w:pPr>
        <w:pStyle w:val="Akapitzlist"/>
        <w:numPr>
          <w:ilvl w:val="0"/>
          <w:numId w:val="17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16E2">
        <w:rPr>
          <w:rFonts w:ascii="Times New Roman" w:hAnsi="Times New Roman"/>
          <w:sz w:val="24"/>
          <w:szCs w:val="24"/>
        </w:rPr>
        <w:t>pisemne i ustne</w:t>
      </w:r>
      <w:r w:rsidR="00E720AD" w:rsidRPr="007B16E2">
        <w:rPr>
          <w:rFonts w:ascii="Times New Roman" w:hAnsi="Times New Roman"/>
          <w:sz w:val="24"/>
          <w:szCs w:val="24"/>
        </w:rPr>
        <w:t xml:space="preserve"> uzasadnienie orzeczenia sądu </w:t>
      </w:r>
      <w:r w:rsidR="00203A5D" w:rsidRPr="007B16E2">
        <w:rPr>
          <w:rFonts w:ascii="Times New Roman" w:hAnsi="Times New Roman"/>
          <w:sz w:val="24"/>
          <w:szCs w:val="24"/>
        </w:rPr>
        <w:t>drugiej</w:t>
      </w:r>
      <w:r w:rsidR="00E720AD" w:rsidRPr="007B16E2">
        <w:rPr>
          <w:rFonts w:ascii="Times New Roman" w:hAnsi="Times New Roman"/>
          <w:sz w:val="24"/>
          <w:szCs w:val="24"/>
        </w:rPr>
        <w:t xml:space="preserve"> </w:t>
      </w:r>
      <w:r w:rsidRPr="007B16E2">
        <w:rPr>
          <w:rFonts w:ascii="Times New Roman" w:hAnsi="Times New Roman"/>
          <w:sz w:val="24"/>
          <w:szCs w:val="24"/>
        </w:rPr>
        <w:t>instancji, w tym w szczególności wymogi konstrukcyjne uzasadnienia;</w:t>
      </w:r>
    </w:p>
    <w:p w:rsidR="00F27CE8" w:rsidRPr="007B16E2" w:rsidRDefault="00203A5D" w:rsidP="007C79A0">
      <w:pPr>
        <w:pStyle w:val="Akapitzlist"/>
        <w:numPr>
          <w:ilvl w:val="0"/>
          <w:numId w:val="17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16E2">
        <w:rPr>
          <w:rFonts w:ascii="Times New Roman" w:hAnsi="Times New Roman"/>
          <w:sz w:val="24"/>
          <w:szCs w:val="24"/>
        </w:rPr>
        <w:t>zażalenie w postępowaniu cywilnym, rozstrzyganie o kosztach postępowania zażaleniowego</w:t>
      </w:r>
      <w:r w:rsidR="00E720AD" w:rsidRPr="007B16E2">
        <w:rPr>
          <w:rFonts w:ascii="Times New Roman" w:hAnsi="Times New Roman"/>
          <w:sz w:val="24"/>
          <w:szCs w:val="24"/>
        </w:rPr>
        <w:t>;</w:t>
      </w:r>
      <w:r w:rsidR="009743D5" w:rsidRPr="007B16E2">
        <w:rPr>
          <w:rFonts w:ascii="Times New Roman" w:hAnsi="Times New Roman"/>
          <w:sz w:val="24"/>
          <w:szCs w:val="24"/>
        </w:rPr>
        <w:t xml:space="preserve"> </w:t>
      </w:r>
    </w:p>
    <w:p w:rsidR="00203A5D" w:rsidRPr="007B16E2" w:rsidRDefault="00203A5D" w:rsidP="007C79A0">
      <w:pPr>
        <w:pStyle w:val="Akapitzlist"/>
        <w:numPr>
          <w:ilvl w:val="0"/>
          <w:numId w:val="17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16E2">
        <w:rPr>
          <w:rFonts w:ascii="Times New Roman" w:hAnsi="Times New Roman"/>
          <w:sz w:val="24"/>
          <w:szCs w:val="24"/>
        </w:rPr>
        <w:t xml:space="preserve">nadzwyczajne </w:t>
      </w:r>
      <w:r w:rsidR="00AA763A" w:rsidRPr="007B16E2">
        <w:rPr>
          <w:rFonts w:ascii="Times New Roman" w:hAnsi="Times New Roman"/>
          <w:sz w:val="24"/>
          <w:szCs w:val="24"/>
        </w:rPr>
        <w:t xml:space="preserve">środki </w:t>
      </w:r>
      <w:r w:rsidRPr="007B16E2">
        <w:rPr>
          <w:rFonts w:ascii="Times New Roman" w:hAnsi="Times New Roman"/>
          <w:sz w:val="24"/>
          <w:szCs w:val="24"/>
        </w:rPr>
        <w:t>zaskarżenia, konstruowanie pytań prawnych do SN i TK, wznowienie postępowania.</w:t>
      </w:r>
    </w:p>
    <w:p w:rsidR="00203A5D" w:rsidRPr="007B16E2" w:rsidRDefault="00203A5D" w:rsidP="007C79A0">
      <w:pPr>
        <w:spacing w:after="60" w:line="336" w:lineRule="auto"/>
        <w:ind w:firstLine="708"/>
        <w:jc w:val="both"/>
      </w:pPr>
      <w:r w:rsidRPr="007B16E2">
        <w:lastRenderedPageBreak/>
        <w:t>Zaleca się, aby w trakcie praktyki aplikanci zapoznawali się z konkretnymi sprawami obejmującymi zagadnienia z</w:t>
      </w:r>
      <w:r w:rsidR="00E87F44" w:rsidRPr="007B16E2">
        <w:t xml:space="preserve"> </w:t>
      </w:r>
      <w:r w:rsidRPr="007B16E2">
        <w:t xml:space="preserve">ww. zakresu, brali udział w posiedzeniach i rozprawach dotyczących tych spraw oraz aby powierzano im jak największą liczbę czynności, które utrwalą zdobytą przez nich wiedzę i umiejętności praktyczne, a w szczególności, aby brali czynny udział w przygotowywaniu projektów zarządzeń i orzeczeń sądu w tych dziedzinach, wraz z uzasadnieniami. </w:t>
      </w:r>
    </w:p>
    <w:p w:rsidR="00E87F44" w:rsidRPr="007B16E2" w:rsidRDefault="00E87F44" w:rsidP="007C79A0">
      <w:pPr>
        <w:spacing w:after="60" w:line="336" w:lineRule="auto"/>
        <w:ind w:firstLine="708"/>
        <w:jc w:val="both"/>
      </w:pPr>
      <w:r w:rsidRPr="007B16E2">
        <w:t xml:space="preserve">Patron praktyki, powinien dołożyć </w:t>
      </w:r>
      <w:r w:rsidR="00A570B9" w:rsidRPr="007B16E2">
        <w:t>również</w:t>
      </w:r>
      <w:r w:rsidRPr="007B16E2">
        <w:t xml:space="preserve"> starań, aby aplikanci nabyli umiejętność prawidłowego formułowania sentencji wyroków, a także pisemnych uzasadnień orzeczeń sądu pierwszej instancji (zarówno merytorycznych, jak i formalnych). </w:t>
      </w:r>
    </w:p>
    <w:p w:rsidR="00203A5D" w:rsidRPr="007B16E2" w:rsidRDefault="00203A5D" w:rsidP="007C79A0">
      <w:pPr>
        <w:spacing w:after="60" w:line="336" w:lineRule="auto"/>
        <w:ind w:firstLine="709"/>
        <w:jc w:val="both"/>
      </w:pPr>
      <w:r w:rsidRPr="007B16E2"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 której jest zatrudniony. </w:t>
      </w:r>
    </w:p>
    <w:p w:rsidR="00E720AD" w:rsidRPr="007B16E2" w:rsidRDefault="00E720AD" w:rsidP="007C79A0">
      <w:pPr>
        <w:spacing w:after="60" w:line="336" w:lineRule="auto"/>
        <w:ind w:firstLine="709"/>
        <w:jc w:val="both"/>
        <w:rPr>
          <w:b/>
        </w:rPr>
      </w:pPr>
      <w:r w:rsidRPr="007B16E2">
        <w:rPr>
          <w:b/>
        </w:rPr>
        <w:t>Po wykonaniu czynności przez aplikanta należy szczegółowo omówić z nim rezultaty jego pracy, w tym ewentualne uchybienia.</w:t>
      </w:r>
    </w:p>
    <w:p w:rsidR="00627AF5" w:rsidRPr="007B16E2" w:rsidRDefault="00627AF5" w:rsidP="007C79A0">
      <w:pPr>
        <w:spacing w:after="60" w:line="336" w:lineRule="auto"/>
        <w:ind w:firstLine="708"/>
        <w:jc w:val="both"/>
      </w:pPr>
      <w:r w:rsidRPr="007B16E2">
        <w:rPr>
          <w:b/>
          <w:color w:val="000000"/>
          <w:u w:val="single"/>
        </w:rPr>
        <w:t>Czynności, które powinny zostać zlecone aplikantowi w trakcie praktyki (czynności obowiązkowe)</w:t>
      </w:r>
    </w:p>
    <w:p w:rsidR="0040397D" w:rsidRPr="007B16E2" w:rsidRDefault="00E87F44" w:rsidP="007C79A0">
      <w:pPr>
        <w:pStyle w:val="Akapitzlist"/>
        <w:numPr>
          <w:ilvl w:val="0"/>
          <w:numId w:val="20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16E2">
        <w:rPr>
          <w:rFonts w:ascii="Times New Roman" w:hAnsi="Times New Roman"/>
          <w:sz w:val="24"/>
          <w:szCs w:val="24"/>
        </w:rPr>
        <w:t>sporządzenie projektu orzeczenia</w:t>
      </w:r>
      <w:r w:rsidR="007C79A0" w:rsidRPr="007B16E2">
        <w:rPr>
          <w:rFonts w:ascii="Times New Roman" w:hAnsi="Times New Roman"/>
          <w:sz w:val="24"/>
          <w:szCs w:val="24"/>
        </w:rPr>
        <w:t xml:space="preserve"> co do istoty sprawy</w:t>
      </w:r>
      <w:r w:rsidRPr="007B16E2">
        <w:rPr>
          <w:rFonts w:ascii="Times New Roman" w:hAnsi="Times New Roman"/>
          <w:sz w:val="24"/>
          <w:szCs w:val="24"/>
        </w:rPr>
        <w:t xml:space="preserve"> wraz z uzasadnieniem </w:t>
      </w:r>
      <w:r w:rsidR="007B16E2">
        <w:rPr>
          <w:rFonts w:ascii="Times New Roman" w:hAnsi="Times New Roman"/>
          <w:sz w:val="24"/>
          <w:szCs w:val="24"/>
        </w:rPr>
        <w:t xml:space="preserve">(i zarządzeniami) </w:t>
      </w:r>
      <w:r w:rsidRPr="007B16E2">
        <w:rPr>
          <w:rFonts w:ascii="Times New Roman" w:hAnsi="Times New Roman"/>
          <w:sz w:val="24"/>
          <w:szCs w:val="24"/>
        </w:rPr>
        <w:t>w sprawie, w</w:t>
      </w:r>
      <w:r w:rsidR="007C79A0" w:rsidRPr="007B16E2">
        <w:rPr>
          <w:rFonts w:ascii="Times New Roman" w:hAnsi="Times New Roman"/>
          <w:sz w:val="24"/>
          <w:szCs w:val="24"/>
        </w:rPr>
        <w:t> </w:t>
      </w:r>
      <w:r w:rsidRPr="007B16E2">
        <w:rPr>
          <w:rFonts w:ascii="Times New Roman" w:hAnsi="Times New Roman"/>
          <w:sz w:val="24"/>
          <w:szCs w:val="24"/>
        </w:rPr>
        <w:t>której doszło do zmiany</w:t>
      </w:r>
      <w:r w:rsidR="007C79A0" w:rsidRPr="007B16E2">
        <w:rPr>
          <w:rFonts w:ascii="Times New Roman" w:hAnsi="Times New Roman"/>
          <w:sz w:val="24"/>
          <w:szCs w:val="24"/>
        </w:rPr>
        <w:t xml:space="preserve"> lub uchylenia</w:t>
      </w:r>
      <w:r w:rsidRPr="007B16E2">
        <w:rPr>
          <w:rFonts w:ascii="Times New Roman" w:hAnsi="Times New Roman"/>
          <w:sz w:val="24"/>
          <w:szCs w:val="24"/>
        </w:rPr>
        <w:t xml:space="preserve"> orzeczenia sądu pierwszej instancji</w:t>
      </w:r>
      <w:r w:rsidR="0040397D" w:rsidRPr="007B16E2">
        <w:rPr>
          <w:rFonts w:ascii="Times New Roman" w:hAnsi="Times New Roman"/>
          <w:sz w:val="24"/>
          <w:szCs w:val="24"/>
        </w:rPr>
        <w:t>;</w:t>
      </w:r>
    </w:p>
    <w:p w:rsidR="007C79A0" w:rsidRPr="007B16E2" w:rsidRDefault="007C79A0" w:rsidP="007C79A0">
      <w:pPr>
        <w:numPr>
          <w:ilvl w:val="0"/>
          <w:numId w:val="20"/>
        </w:numPr>
        <w:spacing w:after="60" w:line="336" w:lineRule="auto"/>
        <w:jc w:val="both"/>
      </w:pPr>
      <w:r w:rsidRPr="007B16E2">
        <w:t xml:space="preserve">sporządzenie projektu orzeczenia co do istoty sprawy wraz z uzasadnieniem </w:t>
      </w:r>
      <w:r w:rsidR="007B16E2">
        <w:t xml:space="preserve">(i zarządzeniami)  </w:t>
      </w:r>
      <w:r w:rsidRPr="007B16E2">
        <w:t>w sprawie, w</w:t>
      </w:r>
      <w:r w:rsidR="00A570B9" w:rsidRPr="007B16E2">
        <w:t> </w:t>
      </w:r>
      <w:r w:rsidRPr="007B16E2">
        <w:t>której doszło do oddalenia apelacji, a orzeczenie i uzasadnienie sądu pierwszej instancji może być ocenione jako „wzorcowe”;</w:t>
      </w:r>
    </w:p>
    <w:p w:rsidR="0040397D" w:rsidRPr="007B16E2" w:rsidRDefault="007C79A0" w:rsidP="007C79A0">
      <w:pPr>
        <w:numPr>
          <w:ilvl w:val="0"/>
          <w:numId w:val="20"/>
        </w:numPr>
        <w:spacing w:after="60" w:line="336" w:lineRule="auto"/>
        <w:jc w:val="both"/>
      </w:pPr>
      <w:r w:rsidRPr="007B16E2">
        <w:t xml:space="preserve">sporządzenie dwóch projektów postanowień z uzasadnieniem </w:t>
      </w:r>
      <w:r w:rsidR="007B16E2">
        <w:t xml:space="preserve">(i zarządzeniami)  </w:t>
      </w:r>
      <w:r w:rsidRPr="007B16E2">
        <w:t>w wyniku rozpoznania zażalenia;</w:t>
      </w:r>
    </w:p>
    <w:p w:rsidR="00627AF5" w:rsidRPr="007B16E2" w:rsidRDefault="007C79A0" w:rsidP="007C79A0">
      <w:pPr>
        <w:pStyle w:val="Akapitzlist"/>
        <w:numPr>
          <w:ilvl w:val="0"/>
          <w:numId w:val="20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16E2">
        <w:rPr>
          <w:rFonts w:ascii="Times New Roman" w:hAnsi="Times New Roman"/>
          <w:sz w:val="24"/>
          <w:szCs w:val="24"/>
        </w:rPr>
        <w:t xml:space="preserve">sporządzenie projektu wyroku/postanowienia z uzasadnieniem </w:t>
      </w:r>
      <w:r w:rsidR="007B16E2" w:rsidRPr="007B16E2">
        <w:rPr>
          <w:rFonts w:ascii="Times New Roman" w:hAnsi="Times New Roman"/>
          <w:sz w:val="24"/>
          <w:szCs w:val="24"/>
        </w:rPr>
        <w:t xml:space="preserve">(i zarządzeniami)  </w:t>
      </w:r>
      <w:r w:rsidRPr="007B16E2">
        <w:rPr>
          <w:rFonts w:ascii="Times New Roman" w:hAnsi="Times New Roman"/>
          <w:sz w:val="24"/>
          <w:szCs w:val="24"/>
        </w:rPr>
        <w:t>w sprawie o wznowienie postępowania.</w:t>
      </w:r>
    </w:p>
    <w:p w:rsidR="000376B8" w:rsidRDefault="000376B8" w:rsidP="007C79A0">
      <w:pPr>
        <w:spacing w:after="60" w:line="336" w:lineRule="auto"/>
        <w:rPr>
          <w:lang w:eastAsia="en-US"/>
        </w:rPr>
      </w:pPr>
    </w:p>
    <w:p w:rsidR="007B16E2" w:rsidRPr="007B16E2" w:rsidRDefault="007B16E2" w:rsidP="007C79A0">
      <w:pPr>
        <w:spacing w:after="60" w:line="336" w:lineRule="auto"/>
        <w:rPr>
          <w:lang w:eastAsia="en-US"/>
        </w:rPr>
      </w:pPr>
      <w:bookmarkStart w:id="0" w:name="_GoBack"/>
      <w:bookmarkEnd w:id="0"/>
    </w:p>
    <w:p w:rsidR="000376B8" w:rsidRPr="007B16E2" w:rsidRDefault="000376B8" w:rsidP="007C79A0">
      <w:pPr>
        <w:spacing w:line="336" w:lineRule="auto"/>
        <w:ind w:left="3538"/>
        <w:jc w:val="center"/>
        <w:rPr>
          <w:rFonts w:eastAsia="Calibri"/>
        </w:rPr>
      </w:pPr>
      <w:r w:rsidRPr="007B16E2">
        <w:rPr>
          <w:rFonts w:eastAsia="Calibri"/>
        </w:rPr>
        <w:t>Kierownik Działu Dydaktycznego OAS</w:t>
      </w:r>
    </w:p>
    <w:p w:rsidR="000376B8" w:rsidRPr="007B16E2" w:rsidRDefault="000376B8" w:rsidP="007C79A0">
      <w:pPr>
        <w:spacing w:line="336" w:lineRule="auto"/>
        <w:ind w:left="3538"/>
        <w:jc w:val="center"/>
        <w:rPr>
          <w:rFonts w:eastAsia="Calibri"/>
        </w:rPr>
      </w:pPr>
      <w:r w:rsidRPr="007B16E2">
        <w:rPr>
          <w:rFonts w:eastAsia="Calibri"/>
        </w:rPr>
        <w:t>dr Mariusz Kucharczyk</w:t>
      </w:r>
    </w:p>
    <w:p w:rsidR="00E720AD" w:rsidRPr="007B16E2" w:rsidRDefault="000376B8" w:rsidP="007C79A0">
      <w:pPr>
        <w:spacing w:after="60" w:line="336" w:lineRule="auto"/>
        <w:ind w:left="3540"/>
        <w:jc w:val="center"/>
        <w:rPr>
          <w:rFonts w:eastAsia="Calibri"/>
        </w:rPr>
      </w:pPr>
      <w:r w:rsidRPr="007B16E2">
        <w:rPr>
          <w:rFonts w:eastAsia="Calibri"/>
        </w:rPr>
        <w:t>sędzia</w:t>
      </w:r>
    </w:p>
    <w:sectPr w:rsidR="00E720AD" w:rsidRPr="007B16E2" w:rsidSect="001805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902" w:rsidRDefault="00CC5902">
      <w:r>
        <w:separator/>
      </w:r>
    </w:p>
  </w:endnote>
  <w:endnote w:type="continuationSeparator" w:id="0">
    <w:p w:rsidR="00CC5902" w:rsidRDefault="00CC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8469C">
      <w:rPr>
        <w:noProof/>
      </w:rPr>
      <w:t>3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902" w:rsidRDefault="00CC5902">
      <w:r>
        <w:separator/>
      </w:r>
    </w:p>
  </w:footnote>
  <w:footnote w:type="continuationSeparator" w:id="0">
    <w:p w:rsidR="00CC5902" w:rsidRDefault="00CC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CC5902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48.95pt;margin-top:-3.35pt;width:39.45pt;height:37.55pt;z-index:1;visibility:visible">
          <v:imagedata r:id="rId1" o:title=""/>
        </v:shape>
      </w:pict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7086"/>
    <w:multiLevelType w:val="hybridMultilevel"/>
    <w:tmpl w:val="3A8A1AA2"/>
    <w:lvl w:ilvl="0" w:tplc="2014EFD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4A2110"/>
    <w:multiLevelType w:val="hybridMultilevel"/>
    <w:tmpl w:val="14E87EB2"/>
    <w:lvl w:ilvl="0" w:tplc="D8889746">
      <w:start w:val="1"/>
      <w:numFmt w:val="decimal"/>
      <w:lvlText w:val="%1)"/>
      <w:lvlJc w:val="left"/>
      <w:pPr>
        <w:ind w:left="50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FF38D2"/>
    <w:multiLevelType w:val="multilevel"/>
    <w:tmpl w:val="FFE6BF4C"/>
    <w:lvl w:ilvl="0">
      <w:numFmt w:val="bullet"/>
      <w:lvlText w:val="−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3" w15:restartNumberingAfterBreak="0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14E5E"/>
    <w:multiLevelType w:val="hybridMultilevel"/>
    <w:tmpl w:val="5A56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5040B"/>
    <w:multiLevelType w:val="multilevel"/>
    <w:tmpl w:val="8F66E8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9" w15:restartNumberingAfterBreak="0">
    <w:nsid w:val="792C5763"/>
    <w:multiLevelType w:val="hybridMultilevel"/>
    <w:tmpl w:val="18D637D0"/>
    <w:lvl w:ilvl="0" w:tplc="8B5CE0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02532"/>
    <w:multiLevelType w:val="hybridMultilevel"/>
    <w:tmpl w:val="9C7E2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3"/>
  </w:num>
  <w:num w:numId="9">
    <w:abstractNumId w:val="8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6"/>
  </w:num>
  <w:num w:numId="17">
    <w:abstractNumId w:val="19"/>
  </w:num>
  <w:num w:numId="18">
    <w:abstractNumId w:val="18"/>
  </w:num>
  <w:num w:numId="19">
    <w:abstractNumId w:val="12"/>
  </w:num>
  <w:num w:numId="20">
    <w:abstractNumId w:val="3"/>
  </w:num>
  <w:num w:numId="21">
    <w:abstractNumId w:val="17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A8D"/>
    <w:rsid w:val="0001101F"/>
    <w:rsid w:val="00014391"/>
    <w:rsid w:val="00034D71"/>
    <w:rsid w:val="000376B8"/>
    <w:rsid w:val="000603C3"/>
    <w:rsid w:val="0007211A"/>
    <w:rsid w:val="00075DD4"/>
    <w:rsid w:val="00097D85"/>
    <w:rsid w:val="000A1EFE"/>
    <w:rsid w:val="000A2478"/>
    <w:rsid w:val="000F0C83"/>
    <w:rsid w:val="00113F55"/>
    <w:rsid w:val="001260C2"/>
    <w:rsid w:val="001535EF"/>
    <w:rsid w:val="0018057A"/>
    <w:rsid w:val="0018469C"/>
    <w:rsid w:val="001D44D6"/>
    <w:rsid w:val="001D612D"/>
    <w:rsid w:val="001F4DA9"/>
    <w:rsid w:val="00201A36"/>
    <w:rsid w:val="0020351E"/>
    <w:rsid w:val="00203A5D"/>
    <w:rsid w:val="00204292"/>
    <w:rsid w:val="0021023C"/>
    <w:rsid w:val="0025331C"/>
    <w:rsid w:val="00257FA6"/>
    <w:rsid w:val="00285828"/>
    <w:rsid w:val="00287A8D"/>
    <w:rsid w:val="002C3416"/>
    <w:rsid w:val="0036530E"/>
    <w:rsid w:val="00372C6F"/>
    <w:rsid w:val="003976C9"/>
    <w:rsid w:val="003C548A"/>
    <w:rsid w:val="003E6968"/>
    <w:rsid w:val="004020A3"/>
    <w:rsid w:val="0040397D"/>
    <w:rsid w:val="00414F53"/>
    <w:rsid w:val="00435692"/>
    <w:rsid w:val="00453544"/>
    <w:rsid w:val="00454444"/>
    <w:rsid w:val="00460F2D"/>
    <w:rsid w:val="004655B2"/>
    <w:rsid w:val="004963E2"/>
    <w:rsid w:val="004B5F62"/>
    <w:rsid w:val="004C2C6A"/>
    <w:rsid w:val="004D6A0F"/>
    <w:rsid w:val="004E1F7C"/>
    <w:rsid w:val="0054400E"/>
    <w:rsid w:val="0057441C"/>
    <w:rsid w:val="0058148F"/>
    <w:rsid w:val="005814DD"/>
    <w:rsid w:val="0058215B"/>
    <w:rsid w:val="0059529A"/>
    <w:rsid w:val="005B5162"/>
    <w:rsid w:val="005C7F40"/>
    <w:rsid w:val="006259B0"/>
    <w:rsid w:val="00627527"/>
    <w:rsid w:val="00627AF5"/>
    <w:rsid w:val="00642192"/>
    <w:rsid w:val="00643965"/>
    <w:rsid w:val="00657A5D"/>
    <w:rsid w:val="0066240C"/>
    <w:rsid w:val="0066318B"/>
    <w:rsid w:val="006637CA"/>
    <w:rsid w:val="00685770"/>
    <w:rsid w:val="006A175A"/>
    <w:rsid w:val="006A35F2"/>
    <w:rsid w:val="006B6150"/>
    <w:rsid w:val="006C2C02"/>
    <w:rsid w:val="006C31F8"/>
    <w:rsid w:val="0071099F"/>
    <w:rsid w:val="0072431F"/>
    <w:rsid w:val="007340C7"/>
    <w:rsid w:val="00737451"/>
    <w:rsid w:val="00762623"/>
    <w:rsid w:val="00781288"/>
    <w:rsid w:val="007A0EF0"/>
    <w:rsid w:val="007A4DDF"/>
    <w:rsid w:val="007B16E2"/>
    <w:rsid w:val="007C79A0"/>
    <w:rsid w:val="007D3B03"/>
    <w:rsid w:val="00811FD4"/>
    <w:rsid w:val="008333CC"/>
    <w:rsid w:val="00854268"/>
    <w:rsid w:val="00854696"/>
    <w:rsid w:val="008643C4"/>
    <w:rsid w:val="00864DC2"/>
    <w:rsid w:val="008C6A09"/>
    <w:rsid w:val="008F6844"/>
    <w:rsid w:val="00910885"/>
    <w:rsid w:val="00917315"/>
    <w:rsid w:val="009201FF"/>
    <w:rsid w:val="009449BE"/>
    <w:rsid w:val="0096011F"/>
    <w:rsid w:val="009743D5"/>
    <w:rsid w:val="00975D2F"/>
    <w:rsid w:val="00982BF4"/>
    <w:rsid w:val="009A2AD0"/>
    <w:rsid w:val="009B3C3E"/>
    <w:rsid w:val="009C1530"/>
    <w:rsid w:val="009D5C9B"/>
    <w:rsid w:val="009E4BC1"/>
    <w:rsid w:val="00A05649"/>
    <w:rsid w:val="00A0612B"/>
    <w:rsid w:val="00A06BD3"/>
    <w:rsid w:val="00A1174F"/>
    <w:rsid w:val="00A31403"/>
    <w:rsid w:val="00A315E2"/>
    <w:rsid w:val="00A31672"/>
    <w:rsid w:val="00A321C2"/>
    <w:rsid w:val="00A5114D"/>
    <w:rsid w:val="00A570B9"/>
    <w:rsid w:val="00A84637"/>
    <w:rsid w:val="00A8661E"/>
    <w:rsid w:val="00AA763A"/>
    <w:rsid w:val="00AC70FF"/>
    <w:rsid w:val="00AD1E3F"/>
    <w:rsid w:val="00AE6873"/>
    <w:rsid w:val="00AF3769"/>
    <w:rsid w:val="00B21553"/>
    <w:rsid w:val="00B50BD7"/>
    <w:rsid w:val="00B65D76"/>
    <w:rsid w:val="00B77887"/>
    <w:rsid w:val="00B951A9"/>
    <w:rsid w:val="00BF3850"/>
    <w:rsid w:val="00BF4267"/>
    <w:rsid w:val="00C0601B"/>
    <w:rsid w:val="00C2780F"/>
    <w:rsid w:val="00C70B7D"/>
    <w:rsid w:val="00C728C4"/>
    <w:rsid w:val="00CA5ED3"/>
    <w:rsid w:val="00CB5DAB"/>
    <w:rsid w:val="00CC349A"/>
    <w:rsid w:val="00CC5902"/>
    <w:rsid w:val="00CE537D"/>
    <w:rsid w:val="00CE65E5"/>
    <w:rsid w:val="00CF4720"/>
    <w:rsid w:val="00D063E6"/>
    <w:rsid w:val="00D14E4A"/>
    <w:rsid w:val="00D17EEB"/>
    <w:rsid w:val="00D21ADC"/>
    <w:rsid w:val="00D316CF"/>
    <w:rsid w:val="00D462FC"/>
    <w:rsid w:val="00D627F0"/>
    <w:rsid w:val="00D831D3"/>
    <w:rsid w:val="00DC2718"/>
    <w:rsid w:val="00DE7763"/>
    <w:rsid w:val="00DF575C"/>
    <w:rsid w:val="00E07F98"/>
    <w:rsid w:val="00E2115C"/>
    <w:rsid w:val="00E32111"/>
    <w:rsid w:val="00E4296E"/>
    <w:rsid w:val="00E5763D"/>
    <w:rsid w:val="00E57F4E"/>
    <w:rsid w:val="00E60635"/>
    <w:rsid w:val="00E67575"/>
    <w:rsid w:val="00E706A9"/>
    <w:rsid w:val="00E720AD"/>
    <w:rsid w:val="00E76952"/>
    <w:rsid w:val="00E87F44"/>
    <w:rsid w:val="00EA0662"/>
    <w:rsid w:val="00EA19D4"/>
    <w:rsid w:val="00EC4F8D"/>
    <w:rsid w:val="00EC55CA"/>
    <w:rsid w:val="00ED31EF"/>
    <w:rsid w:val="00EE1949"/>
    <w:rsid w:val="00EF542D"/>
    <w:rsid w:val="00F056CC"/>
    <w:rsid w:val="00F27CE8"/>
    <w:rsid w:val="00F52A94"/>
    <w:rsid w:val="00F871D7"/>
    <w:rsid w:val="00FA6D95"/>
    <w:rsid w:val="00FB1EEC"/>
    <w:rsid w:val="00FC238E"/>
    <w:rsid w:val="00FD096E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B59E14"/>
  <w15:chartTrackingRefBased/>
  <w15:docId w15:val="{5AB0BD81-D733-4744-9B05-1136B7F9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paragraph" w:customStyle="1" w:styleId="Standard">
    <w:name w:val="Standard"/>
    <w:rsid w:val="00CE65E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eksttreci6">
    <w:name w:val="Tekst treści (6)_"/>
    <w:link w:val="Teksttreci60"/>
    <w:rsid w:val="00627AF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27AF5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Nagwek1Znak">
    <w:name w:val="Nagłówek 1 Znak"/>
    <w:link w:val="Nagwek1"/>
    <w:uiPriority w:val="9"/>
    <w:rsid w:val="0018469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Pilch</dc:creator>
  <cp:keywords/>
  <cp:lastModifiedBy>Mariusz Kucharczyk</cp:lastModifiedBy>
  <cp:revision>8</cp:revision>
  <cp:lastPrinted>2024-05-08T10:15:00Z</cp:lastPrinted>
  <dcterms:created xsi:type="dcterms:W3CDTF">2024-05-08T07:58:00Z</dcterms:created>
  <dcterms:modified xsi:type="dcterms:W3CDTF">2024-05-13T09:23:00Z</dcterms:modified>
</cp:coreProperties>
</file>