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77FA" w14:textId="725ECD7A" w:rsidR="00935C18" w:rsidRPr="00F252B9" w:rsidRDefault="00935C18" w:rsidP="003553EA">
      <w:pPr>
        <w:spacing w:after="0" w:line="336" w:lineRule="auto"/>
        <w:jc w:val="both"/>
        <w:rPr>
          <w:rFonts w:cstheme="minorHAnsi"/>
          <w:i/>
          <w:sz w:val="24"/>
          <w:szCs w:val="24"/>
        </w:rPr>
      </w:pPr>
      <w:r w:rsidRPr="00F252B9">
        <w:rPr>
          <w:rFonts w:cstheme="minorHAnsi"/>
          <w:i/>
          <w:sz w:val="24"/>
          <w:szCs w:val="24"/>
        </w:rPr>
        <w:t>Zalecenia w sprawie praktyk odbywanych przez aplikantów XIV rocznika aplikacji sędziowskiej po 2</w:t>
      </w:r>
      <w:r w:rsidR="00CF4CB3" w:rsidRPr="00F252B9">
        <w:rPr>
          <w:rFonts w:cstheme="minorHAnsi"/>
          <w:i/>
          <w:sz w:val="24"/>
          <w:szCs w:val="24"/>
        </w:rPr>
        <w:t>5</w:t>
      </w:r>
      <w:r w:rsidRPr="00F252B9">
        <w:rPr>
          <w:rFonts w:cstheme="minorHAnsi"/>
          <w:i/>
          <w:sz w:val="24"/>
          <w:szCs w:val="24"/>
        </w:rPr>
        <w:t xml:space="preserve"> zjeździe XIV AS</w:t>
      </w:r>
    </w:p>
    <w:p w14:paraId="0E6A7CC1" w14:textId="77777777" w:rsidR="00935C18" w:rsidRPr="00F252B9" w:rsidRDefault="00935C18" w:rsidP="003553EA">
      <w:pPr>
        <w:spacing w:after="0" w:line="336" w:lineRule="auto"/>
        <w:ind w:firstLine="4961"/>
        <w:rPr>
          <w:rFonts w:cstheme="minorHAnsi"/>
          <w:b/>
          <w:sz w:val="24"/>
          <w:szCs w:val="24"/>
        </w:rPr>
      </w:pPr>
    </w:p>
    <w:p w14:paraId="26409DCE" w14:textId="77777777" w:rsidR="00935C18" w:rsidRPr="00F252B9" w:rsidRDefault="00935C18" w:rsidP="003553EA">
      <w:pPr>
        <w:spacing w:after="0" w:line="336" w:lineRule="auto"/>
        <w:ind w:firstLine="4961"/>
        <w:rPr>
          <w:rFonts w:cstheme="minorHAnsi"/>
          <w:b/>
          <w:sz w:val="24"/>
          <w:szCs w:val="24"/>
        </w:rPr>
      </w:pPr>
      <w:r w:rsidRPr="00F252B9">
        <w:rPr>
          <w:rFonts w:cstheme="minorHAnsi"/>
          <w:b/>
          <w:sz w:val="24"/>
          <w:szCs w:val="24"/>
        </w:rPr>
        <w:t>Do</w:t>
      </w:r>
    </w:p>
    <w:p w14:paraId="17F2A953" w14:textId="77777777" w:rsidR="00935C18" w:rsidRPr="00F252B9" w:rsidRDefault="00935C18" w:rsidP="003553EA">
      <w:pPr>
        <w:spacing w:after="0" w:line="336" w:lineRule="auto"/>
        <w:ind w:firstLine="4961"/>
        <w:rPr>
          <w:rFonts w:cstheme="minorHAnsi"/>
          <w:b/>
          <w:sz w:val="24"/>
          <w:szCs w:val="24"/>
        </w:rPr>
      </w:pPr>
      <w:r w:rsidRPr="00F252B9">
        <w:rPr>
          <w:rFonts w:cstheme="minorHAnsi"/>
          <w:b/>
          <w:sz w:val="24"/>
          <w:szCs w:val="24"/>
        </w:rPr>
        <w:t>Patronów praktyk</w:t>
      </w:r>
    </w:p>
    <w:p w14:paraId="5356A58D" w14:textId="77777777" w:rsidR="00935C18" w:rsidRPr="00F252B9" w:rsidRDefault="00935C18" w:rsidP="003553EA">
      <w:pPr>
        <w:spacing w:after="0" w:line="336" w:lineRule="auto"/>
        <w:ind w:firstLine="4961"/>
        <w:rPr>
          <w:rFonts w:cstheme="minorHAnsi"/>
          <w:b/>
          <w:sz w:val="24"/>
          <w:szCs w:val="24"/>
        </w:rPr>
      </w:pPr>
      <w:r w:rsidRPr="00F252B9">
        <w:rPr>
          <w:rFonts w:cstheme="minorHAnsi"/>
          <w:b/>
          <w:sz w:val="24"/>
          <w:szCs w:val="24"/>
        </w:rPr>
        <w:t>oraz Patronów koordynatorów</w:t>
      </w:r>
    </w:p>
    <w:p w14:paraId="3E19E83E" w14:textId="77777777" w:rsidR="00935C18" w:rsidRPr="00F252B9" w:rsidRDefault="00935C18" w:rsidP="003553EA">
      <w:pPr>
        <w:spacing w:after="0" w:line="336" w:lineRule="auto"/>
        <w:ind w:firstLine="4961"/>
        <w:rPr>
          <w:rFonts w:cstheme="minorHAnsi"/>
          <w:b/>
          <w:sz w:val="24"/>
          <w:szCs w:val="24"/>
        </w:rPr>
      </w:pPr>
      <w:r w:rsidRPr="00F252B9">
        <w:rPr>
          <w:rFonts w:cstheme="minorHAnsi"/>
          <w:b/>
          <w:sz w:val="24"/>
          <w:szCs w:val="24"/>
        </w:rPr>
        <w:t>aplikantów aplikacji sędziowskiej</w:t>
      </w:r>
    </w:p>
    <w:p w14:paraId="02EF5A16" w14:textId="77777777" w:rsidR="00935C18" w:rsidRPr="00F252B9" w:rsidRDefault="00935C18" w:rsidP="003553EA">
      <w:pPr>
        <w:spacing w:after="0" w:line="336" w:lineRule="auto"/>
        <w:rPr>
          <w:rFonts w:cstheme="minorHAnsi"/>
          <w:b/>
          <w:sz w:val="24"/>
          <w:szCs w:val="24"/>
        </w:rPr>
      </w:pPr>
    </w:p>
    <w:p w14:paraId="335F9D03" w14:textId="7E252EA7" w:rsidR="00935C18" w:rsidRPr="00F252B9" w:rsidRDefault="00935C18" w:rsidP="003553EA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F252B9">
        <w:rPr>
          <w:rFonts w:cstheme="minorHAnsi"/>
          <w:sz w:val="24"/>
          <w:szCs w:val="24"/>
        </w:rPr>
        <w:t>Uprzejmie przedstawiam szczegółowy zakres tematyczny, który winien być przedmiotem praktyk aplikantów XIV rocznika aplikacji sędziowskiej odbywanych po 2</w:t>
      </w:r>
      <w:r w:rsidR="00CF4CB3" w:rsidRPr="00F252B9">
        <w:rPr>
          <w:rFonts w:cstheme="minorHAnsi"/>
          <w:sz w:val="24"/>
          <w:szCs w:val="24"/>
        </w:rPr>
        <w:t>5</w:t>
      </w:r>
      <w:r w:rsidRPr="00F252B9">
        <w:rPr>
          <w:rFonts w:cstheme="minorHAnsi"/>
          <w:sz w:val="24"/>
          <w:szCs w:val="24"/>
        </w:rPr>
        <w:t> zjeździe w okresie</w:t>
      </w:r>
      <w:r w:rsidR="00541F6A" w:rsidRPr="00F252B9">
        <w:rPr>
          <w:rFonts w:cstheme="minorHAnsi"/>
          <w:sz w:val="24"/>
          <w:szCs w:val="24"/>
        </w:rPr>
        <w:t xml:space="preserve"> </w:t>
      </w:r>
      <w:r w:rsidR="00CF4CB3" w:rsidRPr="00F252B9">
        <w:rPr>
          <w:rFonts w:cstheme="minorHAnsi"/>
          <w:b/>
          <w:bCs/>
          <w:sz w:val="24"/>
          <w:szCs w:val="24"/>
        </w:rPr>
        <w:t>17.03.2025 r. – 4.04.2025 r.</w:t>
      </w:r>
      <w:r w:rsidR="00CF4CB3" w:rsidRPr="00F252B9">
        <w:rPr>
          <w:rFonts w:cstheme="minorHAnsi"/>
          <w:sz w:val="24"/>
          <w:szCs w:val="24"/>
        </w:rPr>
        <w:t xml:space="preserve"> w sądzie rejonowym </w:t>
      </w:r>
      <w:r w:rsidRPr="00F252B9">
        <w:rPr>
          <w:rFonts w:cstheme="minorHAnsi"/>
          <w:sz w:val="24"/>
          <w:szCs w:val="24"/>
        </w:rPr>
        <w:t>w wydziale cywilnym</w:t>
      </w:r>
      <w:r w:rsidR="00CF4CB3" w:rsidRPr="00F252B9">
        <w:rPr>
          <w:rFonts w:cstheme="minorHAnsi"/>
          <w:sz w:val="24"/>
          <w:szCs w:val="24"/>
        </w:rPr>
        <w:t>.</w:t>
      </w:r>
    </w:p>
    <w:p w14:paraId="76175D92" w14:textId="77777777" w:rsidR="00935C18" w:rsidRPr="00F252B9" w:rsidRDefault="00935C18" w:rsidP="003553EA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F252B9">
        <w:rPr>
          <w:rFonts w:cstheme="minorHAnsi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14:paraId="796DA6F1" w14:textId="77777777" w:rsidR="00935C18" w:rsidRPr="00F252B9" w:rsidRDefault="00935C18" w:rsidP="003553EA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F252B9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7EAA63F5" w14:textId="77777777" w:rsidR="00935C18" w:rsidRPr="00F252B9" w:rsidRDefault="00935C18" w:rsidP="003553EA">
      <w:pPr>
        <w:spacing w:after="120" w:line="336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F252B9">
        <w:rPr>
          <w:rFonts w:eastAsia="Times New Roman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F252B9">
        <w:rPr>
          <w:rFonts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F252B9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F252B9">
        <w:rPr>
          <w:rFonts w:eastAsia="Times New Roman" w:cstheme="minorHAnsi"/>
          <w:sz w:val="24"/>
          <w:szCs w:val="24"/>
          <w:u w:val="single"/>
        </w:rPr>
        <w:t xml:space="preserve">kontrolować prawidłowość ich wykonania. </w:t>
      </w:r>
    </w:p>
    <w:p w14:paraId="69C9AA4F" w14:textId="77777777" w:rsidR="00935C18" w:rsidRPr="00F252B9" w:rsidRDefault="00935C18" w:rsidP="003553EA">
      <w:pPr>
        <w:spacing w:after="120" w:line="336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F252B9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4BEFB9F1" w14:textId="77777777" w:rsidR="00935C18" w:rsidRPr="00F252B9" w:rsidRDefault="00935C18" w:rsidP="003553EA">
      <w:pPr>
        <w:spacing w:after="120" w:line="33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F252B9">
        <w:rPr>
          <w:rFonts w:cstheme="minorHAnsi"/>
          <w:sz w:val="24"/>
          <w:szCs w:val="24"/>
        </w:rPr>
        <w:t xml:space="preserve">Zaleca się angażowanie aplikanta w czynności, o których mowa w art. 45 § 3 </w:t>
      </w:r>
      <w:r w:rsidRPr="00F252B9">
        <w:rPr>
          <w:rFonts w:cstheme="minorHAnsi"/>
          <w:bCs/>
          <w:sz w:val="24"/>
          <w:szCs w:val="24"/>
        </w:rPr>
        <w:t>ustawy z dnia 27 lipca 2001 r. Prawo o ustroju sądów powszechnych.</w:t>
      </w:r>
    </w:p>
    <w:p w14:paraId="26D92BBA" w14:textId="05489102" w:rsidR="00935C18" w:rsidRPr="00F252B9" w:rsidRDefault="00935C18" w:rsidP="003553EA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F252B9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F252B9">
        <w:rPr>
          <w:rFonts w:eastAsia="Times New Roman" w:cstheme="minorHAnsi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F252B9">
        <w:rPr>
          <w:rFonts w:eastAsia="Times New Roman" w:cstheme="minorHAnsi"/>
          <w:sz w:val="24"/>
          <w:szCs w:val="24"/>
        </w:rPr>
        <w:t>j, które znajduje się na stronie internetowej Krajowej Szkoły Sądownictwa i Prokuratury pod adresem</w:t>
      </w:r>
      <w:r w:rsidRPr="00F252B9">
        <w:rPr>
          <w:rFonts w:cstheme="minorHAnsi"/>
          <w:sz w:val="24"/>
          <w:szCs w:val="24"/>
        </w:rPr>
        <w:t xml:space="preserve"> </w:t>
      </w:r>
      <w:hyperlink r:id="rId8" w:history="1">
        <w:r w:rsidRPr="00F252B9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</w:p>
    <w:p w14:paraId="52BE9DF8" w14:textId="34C25A6E" w:rsidR="00CF4CB3" w:rsidRPr="00F252B9" w:rsidRDefault="00F252B9" w:rsidP="00F47295">
      <w:pPr>
        <w:spacing w:line="336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F252B9">
        <w:rPr>
          <w:rFonts w:cstheme="minorHAnsi"/>
          <w:b/>
          <w:sz w:val="28"/>
          <w:szCs w:val="28"/>
        </w:rPr>
        <w:lastRenderedPageBreak/>
        <w:t>PRZEDMIOT ZJAZDU: PRAWO UNIJNE</w:t>
      </w:r>
    </w:p>
    <w:p w14:paraId="73FB1925" w14:textId="74BFA64F" w:rsidR="00F252B9" w:rsidRDefault="00274DFC" w:rsidP="00F47295">
      <w:pPr>
        <w:spacing w:line="336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F252B9">
        <w:rPr>
          <w:rFonts w:cstheme="minorHAnsi"/>
          <w:sz w:val="24"/>
          <w:szCs w:val="24"/>
        </w:rPr>
        <w:t xml:space="preserve">W </w:t>
      </w:r>
      <w:r w:rsidR="006531DF" w:rsidRPr="00F252B9">
        <w:rPr>
          <w:rFonts w:cstheme="minorHAnsi"/>
          <w:sz w:val="24"/>
          <w:szCs w:val="24"/>
        </w:rPr>
        <w:t>trakcie praktyki</w:t>
      </w:r>
      <w:r w:rsidR="006531DF" w:rsidRPr="00F252B9">
        <w:rPr>
          <w:rFonts w:cstheme="minorHAnsi"/>
          <w:b/>
          <w:sz w:val="24"/>
          <w:szCs w:val="24"/>
        </w:rPr>
        <w:t xml:space="preserve"> </w:t>
      </w:r>
      <w:r w:rsidR="006531DF" w:rsidRPr="00F252B9">
        <w:rPr>
          <w:rFonts w:cstheme="minorHAnsi"/>
          <w:sz w:val="24"/>
          <w:szCs w:val="24"/>
        </w:rPr>
        <w:t>a</w:t>
      </w:r>
      <w:r w:rsidR="006531DF" w:rsidRPr="00F252B9">
        <w:rPr>
          <w:rFonts w:cstheme="minorHAnsi"/>
          <w:bCs/>
          <w:sz w:val="24"/>
          <w:szCs w:val="24"/>
        </w:rPr>
        <w:t>plikanci powinny zapoznać się z aktami spraw, w których rozpatrywana była kwestia j</w:t>
      </w:r>
      <w:r w:rsidR="00CF4CB3" w:rsidRPr="00F252B9">
        <w:rPr>
          <w:rFonts w:cstheme="minorHAnsi"/>
          <w:bCs/>
          <w:sz w:val="24"/>
          <w:szCs w:val="24"/>
        </w:rPr>
        <w:t>urysdykcj</w:t>
      </w:r>
      <w:r w:rsidR="006531DF" w:rsidRPr="00F252B9">
        <w:rPr>
          <w:rFonts w:cstheme="minorHAnsi"/>
          <w:bCs/>
          <w:sz w:val="24"/>
          <w:szCs w:val="24"/>
        </w:rPr>
        <w:t>i</w:t>
      </w:r>
      <w:r w:rsidR="00CF4CB3" w:rsidRPr="00F252B9">
        <w:rPr>
          <w:rFonts w:cstheme="minorHAnsi"/>
          <w:bCs/>
          <w:sz w:val="24"/>
          <w:szCs w:val="24"/>
        </w:rPr>
        <w:t xml:space="preserve"> </w:t>
      </w:r>
      <w:r w:rsidR="00277AF8">
        <w:rPr>
          <w:rFonts w:cstheme="minorHAnsi"/>
          <w:bCs/>
          <w:sz w:val="24"/>
          <w:szCs w:val="24"/>
        </w:rPr>
        <w:t>lub</w:t>
      </w:r>
      <w:r w:rsidR="00CF4CB3" w:rsidRPr="00F252B9">
        <w:rPr>
          <w:rFonts w:cstheme="minorHAnsi"/>
          <w:bCs/>
          <w:sz w:val="24"/>
          <w:szCs w:val="24"/>
        </w:rPr>
        <w:t xml:space="preserve"> stosowani</w:t>
      </w:r>
      <w:r w:rsidR="006531DF" w:rsidRPr="00F252B9">
        <w:rPr>
          <w:rFonts w:cstheme="minorHAnsi"/>
          <w:bCs/>
          <w:sz w:val="24"/>
          <w:szCs w:val="24"/>
        </w:rPr>
        <w:t xml:space="preserve">a </w:t>
      </w:r>
      <w:r w:rsidR="00693975" w:rsidRPr="00F252B9">
        <w:rPr>
          <w:rFonts w:cstheme="minorHAnsi"/>
          <w:bCs/>
          <w:sz w:val="24"/>
          <w:szCs w:val="24"/>
        </w:rPr>
        <w:t xml:space="preserve">właściwego </w:t>
      </w:r>
      <w:r w:rsidR="00CF4CB3" w:rsidRPr="00F252B9">
        <w:rPr>
          <w:rFonts w:cstheme="minorHAnsi"/>
          <w:bCs/>
          <w:sz w:val="24"/>
          <w:szCs w:val="24"/>
        </w:rPr>
        <w:t>prawa materialnego</w:t>
      </w:r>
      <w:r w:rsidR="006531DF" w:rsidRPr="00F252B9">
        <w:rPr>
          <w:rFonts w:cstheme="minorHAnsi"/>
          <w:bCs/>
          <w:sz w:val="24"/>
          <w:szCs w:val="24"/>
        </w:rPr>
        <w:t>,</w:t>
      </w:r>
      <w:r w:rsidR="00CF4CB3" w:rsidRPr="00F252B9">
        <w:rPr>
          <w:rFonts w:cstheme="minorHAnsi"/>
          <w:bCs/>
          <w:sz w:val="24"/>
          <w:szCs w:val="24"/>
        </w:rPr>
        <w:t xml:space="preserve"> </w:t>
      </w:r>
      <w:r w:rsidR="006531DF" w:rsidRPr="00F252B9">
        <w:rPr>
          <w:rFonts w:cstheme="minorHAnsi"/>
          <w:bCs/>
          <w:sz w:val="24"/>
          <w:szCs w:val="24"/>
        </w:rPr>
        <w:t>w</w:t>
      </w:r>
      <w:r w:rsidR="00F252B9">
        <w:rPr>
          <w:rFonts w:cstheme="minorHAnsi"/>
          <w:bCs/>
          <w:sz w:val="24"/>
          <w:szCs w:val="24"/>
        </w:rPr>
        <w:t> </w:t>
      </w:r>
      <w:r w:rsidR="006531DF" w:rsidRPr="00F252B9">
        <w:rPr>
          <w:rFonts w:cstheme="minorHAnsi"/>
          <w:bCs/>
          <w:sz w:val="24"/>
          <w:szCs w:val="24"/>
        </w:rPr>
        <w:t xml:space="preserve">szczególności </w:t>
      </w:r>
      <w:r w:rsidR="00CF4CB3" w:rsidRPr="00F252B9">
        <w:rPr>
          <w:rFonts w:cstheme="minorHAnsi"/>
          <w:bCs/>
          <w:sz w:val="24"/>
          <w:szCs w:val="24"/>
        </w:rPr>
        <w:t>w świetle następujących rozporządzeń:</w:t>
      </w:r>
    </w:p>
    <w:p w14:paraId="5595F95B" w14:textId="0B97B236" w:rsidR="00CF4CB3" w:rsidRPr="00F252B9" w:rsidRDefault="00CF4CB3" w:rsidP="00F47295">
      <w:pPr>
        <w:pStyle w:val="Akapitzlist"/>
        <w:numPr>
          <w:ilvl w:val="0"/>
          <w:numId w:val="20"/>
        </w:numPr>
        <w:spacing w:line="336" w:lineRule="auto"/>
        <w:ind w:left="714" w:hanging="357"/>
        <w:contextualSpacing w:val="0"/>
        <w:jc w:val="both"/>
        <w:rPr>
          <w:rFonts w:cstheme="minorHAnsi"/>
          <w:bCs/>
          <w:sz w:val="24"/>
          <w:szCs w:val="24"/>
        </w:rPr>
      </w:pPr>
      <w:r w:rsidRPr="00F252B9">
        <w:rPr>
          <w:rFonts w:cstheme="minorHAnsi"/>
          <w:bCs/>
          <w:sz w:val="24"/>
          <w:szCs w:val="24"/>
          <w:shd w:val="clear" w:color="auto" w:fill="FFFFFF"/>
        </w:rPr>
        <w:t>Rozporządzeni</w:t>
      </w:r>
      <w:r w:rsidR="00F252B9">
        <w:rPr>
          <w:rFonts w:cstheme="minorHAnsi"/>
          <w:bCs/>
          <w:sz w:val="24"/>
          <w:szCs w:val="24"/>
          <w:shd w:val="clear" w:color="auto" w:fill="FFFFFF"/>
        </w:rPr>
        <w:t>a</w:t>
      </w:r>
      <w:r w:rsidRPr="00F252B9">
        <w:rPr>
          <w:rFonts w:cstheme="minorHAnsi"/>
          <w:bCs/>
          <w:sz w:val="24"/>
          <w:szCs w:val="24"/>
          <w:shd w:val="clear" w:color="auto" w:fill="FFFFFF"/>
        </w:rPr>
        <w:t xml:space="preserve"> Parlamentu Europejskiego i Rady (UE) nr 1215/2012 z dnia 12 grudnia 2012 r. w sprawie jurysdykcji i uznawania orzeczeń sądowych oraz ich wykonywania w sprawach cywilnych i handlowych;</w:t>
      </w:r>
    </w:p>
    <w:p w14:paraId="758BF7D0" w14:textId="6F3F0023" w:rsidR="00CF4CB3" w:rsidRPr="00F252B9" w:rsidRDefault="00CF4CB3" w:rsidP="00F47295">
      <w:pPr>
        <w:pStyle w:val="TitleStyle"/>
        <w:numPr>
          <w:ilvl w:val="0"/>
          <w:numId w:val="20"/>
        </w:numPr>
        <w:spacing w:after="160" w:line="336" w:lineRule="auto"/>
        <w:ind w:left="714" w:hanging="357"/>
        <w:jc w:val="both"/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</w:pPr>
      <w:r w:rsidRP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Rozporządzeni</w:t>
      </w:r>
      <w:r w:rsid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a</w:t>
      </w:r>
      <w:r w:rsidRP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 xml:space="preserve"> Parlamentu Europejskiego i Rady (WE) nr 593/2008 z dnia 17 czerwca 2008 r. w sprawie prawa właściwego dla zobowiązań umownych (Rzym I);</w:t>
      </w:r>
    </w:p>
    <w:p w14:paraId="15AEEC03" w14:textId="7F6D86B5" w:rsidR="00CF4CB3" w:rsidRPr="00F252B9" w:rsidRDefault="00CF4CB3" w:rsidP="00F47295">
      <w:pPr>
        <w:pStyle w:val="TitleStyle"/>
        <w:numPr>
          <w:ilvl w:val="0"/>
          <w:numId w:val="20"/>
        </w:numPr>
        <w:spacing w:after="160" w:line="336" w:lineRule="auto"/>
        <w:ind w:left="714" w:hanging="357"/>
        <w:jc w:val="both"/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</w:pPr>
      <w:r w:rsidRP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Rozporządzeni</w:t>
      </w:r>
      <w:r w:rsid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a</w:t>
      </w:r>
      <w:r w:rsidRP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 xml:space="preserve"> (WE) nr 864/2007 Parlamentu Europejskiego i Rady z dnia 11 lipca 2007 r. dotyczące prawa właściwego dla zobowiązań pozaumownych (Rzym II);</w:t>
      </w:r>
    </w:p>
    <w:p w14:paraId="72A0F5E5" w14:textId="149CD306" w:rsidR="00CF4CB3" w:rsidRPr="00277AF8" w:rsidRDefault="00CF4CB3" w:rsidP="00F47295">
      <w:pPr>
        <w:pStyle w:val="TitleStyle"/>
        <w:numPr>
          <w:ilvl w:val="0"/>
          <w:numId w:val="20"/>
        </w:numPr>
        <w:spacing w:after="160" w:line="336" w:lineRule="auto"/>
        <w:ind w:left="714" w:hanging="357"/>
        <w:jc w:val="both"/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</w:pPr>
      <w:r w:rsidRP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Rozporządzeni</w:t>
      </w:r>
      <w:r w:rsid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a</w:t>
      </w:r>
      <w:r w:rsidRPr="00F252B9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 xml:space="preserve"> Parlamentu Europejskiego i Rady (UE) nr 650/2012 z dnia 4 lipca </w:t>
      </w:r>
      <w:r w:rsidRPr="00277AF8"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  <w:t>2012 r. w sprawie jurysdykcji, prawa właściwego, uznawania i wykonywania orzeczeń, przyjmowania i wykonywania dokumentów urzędowych dotyczących dziedziczenia oraz w sprawie ustanowienia europejskiego poświadczenia spadkowego;</w:t>
      </w:r>
    </w:p>
    <w:p w14:paraId="5F584FB7" w14:textId="551272D0" w:rsidR="00277AF8" w:rsidRPr="00277AF8" w:rsidRDefault="00277AF8" w:rsidP="00277AF8">
      <w:pPr>
        <w:pStyle w:val="TitleStyle"/>
        <w:numPr>
          <w:ilvl w:val="0"/>
          <w:numId w:val="20"/>
        </w:numPr>
        <w:spacing w:after="240" w:line="336" w:lineRule="auto"/>
        <w:ind w:left="714" w:hanging="357"/>
        <w:jc w:val="both"/>
        <w:rPr>
          <w:rFonts w:asciiTheme="minorHAnsi" w:hAnsiTheme="minorHAnsi" w:cstheme="minorHAnsi"/>
          <w:b w:val="0"/>
          <w:bCs/>
          <w:color w:val="auto"/>
          <w:szCs w:val="24"/>
          <w:shd w:val="clear" w:color="auto" w:fill="FFFFFF"/>
        </w:rPr>
      </w:pPr>
      <w:r w:rsidRPr="00277AF8">
        <w:rPr>
          <w:rFonts w:asciiTheme="minorHAnsi" w:hAnsiTheme="minorHAnsi" w:cstheme="minorHAnsi"/>
          <w:b w:val="0"/>
          <w:szCs w:val="24"/>
        </w:rPr>
        <w:t xml:space="preserve">Rozporządzenia (WE) </w:t>
      </w:r>
      <w:r w:rsidRPr="00277AF8">
        <w:rPr>
          <w:rFonts w:asciiTheme="minorHAnsi" w:eastAsia="TimesNewRomanBold" w:hAnsiTheme="minorHAnsi" w:cstheme="minorHAnsi"/>
          <w:b w:val="0"/>
          <w:szCs w:val="24"/>
        </w:rPr>
        <w:t>nr 1896/2006 Parlamentu Europejskiego i Rady z dnia 12 grudnia 2006 r. ustanawiaj</w:t>
      </w:r>
      <w:r w:rsidRPr="00277AF8">
        <w:rPr>
          <w:rFonts w:asciiTheme="minorHAnsi" w:eastAsia="TimesNewRomanBold+01" w:hAnsiTheme="minorHAnsi" w:cstheme="minorHAnsi"/>
          <w:b w:val="0"/>
          <w:szCs w:val="24"/>
        </w:rPr>
        <w:t>ą</w:t>
      </w:r>
      <w:r w:rsidRPr="00277AF8">
        <w:rPr>
          <w:rFonts w:asciiTheme="minorHAnsi" w:eastAsia="TimesNewRomanBold" w:hAnsiTheme="minorHAnsi" w:cstheme="minorHAnsi"/>
          <w:b w:val="0"/>
          <w:szCs w:val="24"/>
        </w:rPr>
        <w:t>cego post</w:t>
      </w:r>
      <w:r w:rsidRPr="00277AF8">
        <w:rPr>
          <w:rFonts w:asciiTheme="minorHAnsi" w:eastAsia="TimesNewRomanBold+01" w:hAnsiTheme="minorHAnsi" w:cstheme="minorHAnsi"/>
          <w:b w:val="0"/>
          <w:szCs w:val="24"/>
        </w:rPr>
        <w:t>ę</w:t>
      </w:r>
      <w:r w:rsidRPr="00277AF8">
        <w:rPr>
          <w:rFonts w:asciiTheme="minorHAnsi" w:eastAsia="TimesNewRomanBold" w:hAnsiTheme="minorHAnsi" w:cstheme="minorHAnsi"/>
          <w:b w:val="0"/>
          <w:szCs w:val="24"/>
        </w:rPr>
        <w:t>powanie w sprawie europejskiego nakazu zap</w:t>
      </w:r>
      <w:r w:rsidRPr="00277AF8">
        <w:rPr>
          <w:rFonts w:asciiTheme="minorHAnsi" w:eastAsia="TimesNewRomanBold+01" w:hAnsiTheme="minorHAnsi" w:cstheme="minorHAnsi"/>
          <w:b w:val="0"/>
          <w:szCs w:val="24"/>
        </w:rPr>
        <w:t>ł</w:t>
      </w:r>
      <w:r w:rsidRPr="00277AF8">
        <w:rPr>
          <w:rFonts w:asciiTheme="minorHAnsi" w:eastAsia="TimesNewRomanBold" w:hAnsiTheme="minorHAnsi" w:cstheme="minorHAnsi"/>
          <w:b w:val="0"/>
          <w:szCs w:val="24"/>
        </w:rPr>
        <w:t>aty</w:t>
      </w:r>
      <w:r>
        <w:rPr>
          <w:rFonts w:asciiTheme="minorHAnsi" w:eastAsia="TimesNewRomanBold" w:hAnsiTheme="minorHAnsi" w:cstheme="minorHAnsi"/>
          <w:b w:val="0"/>
          <w:szCs w:val="24"/>
        </w:rPr>
        <w:t>.</w:t>
      </w:r>
    </w:p>
    <w:p w14:paraId="014B36B1" w14:textId="551272D0" w:rsidR="00592194" w:rsidRDefault="00693975" w:rsidP="00F47295">
      <w:pPr>
        <w:spacing w:line="336" w:lineRule="auto"/>
        <w:ind w:firstLine="709"/>
        <w:jc w:val="both"/>
        <w:rPr>
          <w:rFonts w:cstheme="minorHAnsi"/>
          <w:sz w:val="24"/>
          <w:szCs w:val="24"/>
        </w:rPr>
      </w:pPr>
      <w:r w:rsidRPr="0049381C">
        <w:rPr>
          <w:rFonts w:cstheme="minorHAnsi"/>
          <w:sz w:val="24"/>
          <w:szCs w:val="24"/>
        </w:rPr>
        <w:t xml:space="preserve">Na podstawie udostępnionych przez patrona praktyki akt aplikanci powinni zapoznać się z </w:t>
      </w:r>
      <w:r w:rsidRPr="00592194">
        <w:rPr>
          <w:rFonts w:cstheme="minorHAnsi"/>
          <w:sz w:val="24"/>
          <w:szCs w:val="24"/>
        </w:rPr>
        <w:t>metodyką pracy w sprawach unijnych</w:t>
      </w:r>
      <w:r w:rsidR="0049381C" w:rsidRPr="00592194">
        <w:rPr>
          <w:rFonts w:cstheme="minorHAnsi"/>
          <w:sz w:val="24"/>
          <w:szCs w:val="24"/>
        </w:rPr>
        <w:t xml:space="preserve"> i </w:t>
      </w:r>
      <w:r w:rsidR="00226646" w:rsidRPr="00592194">
        <w:rPr>
          <w:rFonts w:cstheme="minorHAnsi"/>
          <w:sz w:val="24"/>
          <w:szCs w:val="24"/>
        </w:rPr>
        <w:t>nabyć umiejętność</w:t>
      </w:r>
      <w:r w:rsidR="0049381C" w:rsidRPr="00592194">
        <w:rPr>
          <w:rFonts w:cstheme="minorHAnsi"/>
          <w:sz w:val="24"/>
          <w:szCs w:val="24"/>
        </w:rPr>
        <w:t>:</w:t>
      </w:r>
    </w:p>
    <w:p w14:paraId="20475968" w14:textId="0F579E8E" w:rsidR="00592194" w:rsidRPr="003553EA" w:rsidRDefault="00693975" w:rsidP="00F47295">
      <w:pPr>
        <w:pStyle w:val="Akapitzlist"/>
        <w:numPr>
          <w:ilvl w:val="1"/>
          <w:numId w:val="25"/>
        </w:numPr>
        <w:spacing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553EA">
        <w:rPr>
          <w:rFonts w:cstheme="minorHAnsi"/>
          <w:sz w:val="24"/>
          <w:szCs w:val="24"/>
        </w:rPr>
        <w:t>określ</w:t>
      </w:r>
      <w:r w:rsidR="00226646" w:rsidRPr="003553EA">
        <w:rPr>
          <w:rFonts w:cstheme="minorHAnsi"/>
          <w:sz w:val="24"/>
          <w:szCs w:val="24"/>
        </w:rPr>
        <w:t>ania</w:t>
      </w:r>
      <w:r w:rsidRPr="003553EA">
        <w:rPr>
          <w:rFonts w:cstheme="minorHAnsi"/>
          <w:sz w:val="24"/>
          <w:szCs w:val="24"/>
        </w:rPr>
        <w:t xml:space="preserve"> przesłan</w:t>
      </w:r>
      <w:r w:rsidR="00226646" w:rsidRPr="003553EA">
        <w:rPr>
          <w:rFonts w:cstheme="minorHAnsi"/>
          <w:sz w:val="24"/>
          <w:szCs w:val="24"/>
        </w:rPr>
        <w:t>ek</w:t>
      </w:r>
      <w:r w:rsidRPr="003553EA">
        <w:rPr>
          <w:rFonts w:cstheme="minorHAnsi"/>
          <w:sz w:val="24"/>
          <w:szCs w:val="24"/>
        </w:rPr>
        <w:t xml:space="preserve"> decydując</w:t>
      </w:r>
      <w:r w:rsidR="00226646" w:rsidRPr="003553EA">
        <w:rPr>
          <w:rFonts w:cstheme="minorHAnsi"/>
          <w:sz w:val="24"/>
          <w:szCs w:val="24"/>
        </w:rPr>
        <w:t>ych</w:t>
      </w:r>
      <w:r w:rsidRPr="003553EA">
        <w:rPr>
          <w:rFonts w:cstheme="minorHAnsi"/>
          <w:sz w:val="24"/>
          <w:szCs w:val="24"/>
        </w:rPr>
        <w:t xml:space="preserve"> o unijnym charakterze sprawy,</w:t>
      </w:r>
      <w:r w:rsidR="0049381C" w:rsidRPr="003553EA">
        <w:rPr>
          <w:rFonts w:cstheme="minorHAnsi"/>
          <w:sz w:val="24"/>
          <w:szCs w:val="24"/>
        </w:rPr>
        <w:t xml:space="preserve"> </w:t>
      </w:r>
    </w:p>
    <w:p w14:paraId="16C42F6C" w14:textId="04FC51D6" w:rsidR="00592194" w:rsidRPr="003553EA" w:rsidRDefault="00693975" w:rsidP="00F47295">
      <w:pPr>
        <w:pStyle w:val="Akapitzlist"/>
        <w:numPr>
          <w:ilvl w:val="1"/>
          <w:numId w:val="25"/>
        </w:numPr>
        <w:spacing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553EA">
        <w:rPr>
          <w:rFonts w:cstheme="minorHAnsi"/>
          <w:sz w:val="24"/>
          <w:szCs w:val="24"/>
        </w:rPr>
        <w:t>identyfikowa</w:t>
      </w:r>
      <w:r w:rsidR="00226646" w:rsidRPr="003553EA">
        <w:rPr>
          <w:rFonts w:cstheme="minorHAnsi"/>
          <w:sz w:val="24"/>
          <w:szCs w:val="24"/>
        </w:rPr>
        <w:t>nia</w:t>
      </w:r>
      <w:r w:rsidRPr="003553EA">
        <w:rPr>
          <w:rFonts w:cstheme="minorHAnsi"/>
          <w:sz w:val="24"/>
          <w:szCs w:val="24"/>
        </w:rPr>
        <w:t xml:space="preserve"> przesłan</w:t>
      </w:r>
      <w:r w:rsidR="00226646" w:rsidRPr="003553EA">
        <w:rPr>
          <w:rFonts w:cstheme="minorHAnsi"/>
          <w:sz w:val="24"/>
          <w:szCs w:val="24"/>
        </w:rPr>
        <w:t>ek</w:t>
      </w:r>
      <w:r w:rsidRPr="003553EA">
        <w:rPr>
          <w:rFonts w:cstheme="minorHAnsi"/>
          <w:sz w:val="24"/>
          <w:szCs w:val="24"/>
        </w:rPr>
        <w:t xml:space="preserve"> jurysdykcyjn</w:t>
      </w:r>
      <w:r w:rsidR="00226646" w:rsidRPr="003553EA">
        <w:rPr>
          <w:rFonts w:cstheme="minorHAnsi"/>
          <w:sz w:val="24"/>
          <w:szCs w:val="24"/>
        </w:rPr>
        <w:t>ych</w:t>
      </w:r>
      <w:r w:rsidR="003553EA" w:rsidRPr="003553EA">
        <w:rPr>
          <w:rFonts w:cstheme="minorHAnsi"/>
          <w:sz w:val="24"/>
          <w:szCs w:val="24"/>
        </w:rPr>
        <w:t>,</w:t>
      </w:r>
      <w:r w:rsidRPr="003553EA">
        <w:rPr>
          <w:rFonts w:cstheme="minorHAnsi"/>
          <w:sz w:val="24"/>
          <w:szCs w:val="24"/>
        </w:rPr>
        <w:t xml:space="preserve"> </w:t>
      </w:r>
    </w:p>
    <w:p w14:paraId="075E083D" w14:textId="0F5209F5" w:rsidR="00592194" w:rsidRPr="003553EA" w:rsidRDefault="0049381C" w:rsidP="00277AF8">
      <w:pPr>
        <w:pStyle w:val="Akapitzlist"/>
        <w:numPr>
          <w:ilvl w:val="1"/>
          <w:numId w:val="25"/>
        </w:numPr>
        <w:spacing w:after="24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553EA">
        <w:rPr>
          <w:rFonts w:cstheme="minorHAnsi"/>
          <w:sz w:val="24"/>
          <w:szCs w:val="24"/>
        </w:rPr>
        <w:t>ustalania</w:t>
      </w:r>
      <w:r w:rsidR="00F252B9" w:rsidRPr="003553EA">
        <w:rPr>
          <w:rFonts w:cstheme="minorHAnsi"/>
          <w:sz w:val="24"/>
          <w:szCs w:val="24"/>
        </w:rPr>
        <w:t> </w:t>
      </w:r>
      <w:r w:rsidR="00693975" w:rsidRPr="003553EA">
        <w:rPr>
          <w:rFonts w:cstheme="minorHAnsi"/>
          <w:sz w:val="24"/>
          <w:szCs w:val="24"/>
        </w:rPr>
        <w:t>norm kolizyjn</w:t>
      </w:r>
      <w:r w:rsidR="00226646" w:rsidRPr="003553EA">
        <w:rPr>
          <w:rFonts w:cstheme="minorHAnsi"/>
          <w:sz w:val="24"/>
          <w:szCs w:val="24"/>
        </w:rPr>
        <w:t>ych</w:t>
      </w:r>
      <w:r w:rsidR="00693975" w:rsidRPr="003553EA">
        <w:rPr>
          <w:rFonts w:cstheme="minorHAnsi"/>
          <w:sz w:val="24"/>
          <w:szCs w:val="24"/>
        </w:rPr>
        <w:t xml:space="preserve"> </w:t>
      </w:r>
      <w:r w:rsidR="00F252B9" w:rsidRPr="003553EA">
        <w:rPr>
          <w:rFonts w:cstheme="minorHAnsi"/>
          <w:bCs/>
          <w:sz w:val="24"/>
          <w:szCs w:val="24"/>
        </w:rPr>
        <w:t>wskazujących właściwe prawo</w:t>
      </w:r>
      <w:r w:rsidR="00592194" w:rsidRPr="003553EA">
        <w:rPr>
          <w:rFonts w:cstheme="minorHAnsi"/>
          <w:sz w:val="24"/>
          <w:szCs w:val="24"/>
        </w:rPr>
        <w:t>.</w:t>
      </w:r>
      <w:r w:rsidRPr="003553EA">
        <w:rPr>
          <w:rFonts w:cstheme="minorHAnsi"/>
          <w:sz w:val="24"/>
          <w:szCs w:val="24"/>
        </w:rPr>
        <w:t xml:space="preserve"> </w:t>
      </w:r>
    </w:p>
    <w:p w14:paraId="02EDE064" w14:textId="77777777" w:rsidR="00D75417" w:rsidRPr="00D75417" w:rsidRDefault="00226646" w:rsidP="00F47295">
      <w:pPr>
        <w:spacing w:line="336" w:lineRule="auto"/>
        <w:ind w:firstLine="709"/>
        <w:jc w:val="both"/>
        <w:rPr>
          <w:rFonts w:cstheme="minorHAnsi"/>
          <w:sz w:val="24"/>
          <w:szCs w:val="24"/>
        </w:rPr>
      </w:pPr>
      <w:r w:rsidRPr="00592194">
        <w:rPr>
          <w:rFonts w:cstheme="minorHAnsi"/>
          <w:sz w:val="24"/>
          <w:szCs w:val="24"/>
        </w:rPr>
        <w:t xml:space="preserve">W przedstawionych im sprawach aplikanci powinni </w:t>
      </w:r>
      <w:r w:rsidR="00693975" w:rsidRPr="00592194">
        <w:rPr>
          <w:rFonts w:cstheme="minorHAnsi"/>
          <w:sz w:val="24"/>
          <w:szCs w:val="24"/>
        </w:rPr>
        <w:t>dokonywać</w:t>
      </w:r>
      <w:r w:rsidR="00693975" w:rsidRPr="0049381C">
        <w:rPr>
          <w:rFonts w:cstheme="minorHAnsi"/>
          <w:sz w:val="24"/>
          <w:szCs w:val="24"/>
        </w:rPr>
        <w:t xml:space="preserve"> a</w:t>
      </w:r>
      <w:r w:rsidR="006531DF" w:rsidRPr="0049381C">
        <w:rPr>
          <w:rFonts w:cstheme="minorHAnsi"/>
          <w:sz w:val="24"/>
          <w:szCs w:val="24"/>
        </w:rPr>
        <w:t>naliz</w:t>
      </w:r>
      <w:r w:rsidR="00693975" w:rsidRPr="0049381C">
        <w:rPr>
          <w:rFonts w:cstheme="minorHAnsi"/>
          <w:sz w:val="24"/>
          <w:szCs w:val="24"/>
        </w:rPr>
        <w:t>y</w:t>
      </w:r>
      <w:r w:rsidR="006531DF" w:rsidRPr="0049381C">
        <w:rPr>
          <w:rFonts w:cstheme="minorHAnsi"/>
          <w:sz w:val="24"/>
          <w:szCs w:val="24"/>
        </w:rPr>
        <w:t xml:space="preserve"> sytuacji faktycznej i prawnej, która </w:t>
      </w:r>
      <w:r w:rsidR="00693975" w:rsidRPr="0049381C">
        <w:rPr>
          <w:rFonts w:cstheme="minorHAnsi"/>
          <w:sz w:val="24"/>
          <w:szCs w:val="24"/>
        </w:rPr>
        <w:t>prowadziła</w:t>
      </w:r>
      <w:r w:rsidR="006531DF" w:rsidRPr="0049381C">
        <w:rPr>
          <w:rFonts w:cstheme="minorHAnsi"/>
          <w:sz w:val="24"/>
          <w:szCs w:val="24"/>
        </w:rPr>
        <w:t xml:space="preserve"> do zastosowania prawa unijnego albo poprzez zastosowanie rozporządzenia albo poprzez zastosowanie dyrektywy implementowanej do systemu </w:t>
      </w:r>
      <w:r w:rsidR="006531DF" w:rsidRPr="00D75417">
        <w:rPr>
          <w:rFonts w:cstheme="minorHAnsi"/>
          <w:sz w:val="24"/>
          <w:szCs w:val="24"/>
        </w:rPr>
        <w:t xml:space="preserve">krajowego ustawą. </w:t>
      </w:r>
    </w:p>
    <w:p w14:paraId="7B5AEA21" w14:textId="77777777" w:rsidR="00277AF8" w:rsidRDefault="00277AF8" w:rsidP="00F47295">
      <w:pPr>
        <w:spacing w:line="336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</w:p>
    <w:p w14:paraId="28080060" w14:textId="77777777" w:rsidR="00277AF8" w:rsidRDefault="00277AF8" w:rsidP="00F47295">
      <w:pPr>
        <w:spacing w:line="336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</w:p>
    <w:p w14:paraId="514074DA" w14:textId="69D4E953" w:rsidR="002834BA" w:rsidRDefault="002834BA" w:rsidP="00F47295">
      <w:pPr>
        <w:spacing w:line="336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F252B9">
        <w:rPr>
          <w:rFonts w:cstheme="minorHAnsi"/>
          <w:b/>
          <w:sz w:val="24"/>
          <w:szCs w:val="24"/>
          <w:u w:val="single"/>
        </w:rPr>
        <w:lastRenderedPageBreak/>
        <w:t>Czynności, które powinny zostać zlecone aplikantowi w trakcie praktyki (czynności obowiązkowe):</w:t>
      </w:r>
    </w:p>
    <w:p w14:paraId="3AF13A94" w14:textId="2887B26B" w:rsidR="00F252B9" w:rsidRPr="008A0C8E" w:rsidRDefault="008A0C8E" w:rsidP="00F47295">
      <w:pPr>
        <w:pStyle w:val="Akapitzlist"/>
        <w:numPr>
          <w:ilvl w:val="0"/>
          <w:numId w:val="22"/>
        </w:numPr>
        <w:spacing w:line="336" w:lineRule="auto"/>
        <w:contextualSpacing w:val="0"/>
        <w:jc w:val="both"/>
        <w:rPr>
          <w:rFonts w:eastAsia="TimesNewRomanBold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252B9" w:rsidRPr="008A0C8E">
        <w:rPr>
          <w:rFonts w:cstheme="minorHAnsi"/>
          <w:sz w:val="24"/>
          <w:szCs w:val="24"/>
        </w:rPr>
        <w:t>porządzenie</w:t>
      </w:r>
      <w:r w:rsidRPr="008A0C8E">
        <w:rPr>
          <w:rFonts w:cstheme="minorHAnsi"/>
          <w:sz w:val="24"/>
          <w:szCs w:val="24"/>
        </w:rPr>
        <w:t xml:space="preserve"> co najmniej dwóch projektów</w:t>
      </w:r>
      <w:r w:rsidR="00F252B9" w:rsidRPr="008A0C8E">
        <w:rPr>
          <w:rFonts w:cstheme="minorHAnsi"/>
          <w:sz w:val="24"/>
          <w:szCs w:val="24"/>
        </w:rPr>
        <w:t xml:space="preserve"> postanowienia</w:t>
      </w:r>
      <w:r w:rsidRPr="008A0C8E">
        <w:rPr>
          <w:rFonts w:cstheme="minorHAnsi"/>
          <w:sz w:val="24"/>
          <w:szCs w:val="24"/>
        </w:rPr>
        <w:t xml:space="preserve"> z uza</w:t>
      </w:r>
      <w:r>
        <w:rPr>
          <w:rFonts w:cstheme="minorHAnsi"/>
          <w:sz w:val="24"/>
          <w:szCs w:val="24"/>
        </w:rPr>
        <w:t>sa</w:t>
      </w:r>
      <w:r w:rsidRPr="008A0C8E">
        <w:rPr>
          <w:rFonts w:cstheme="minorHAnsi"/>
          <w:sz w:val="24"/>
          <w:szCs w:val="24"/>
        </w:rPr>
        <w:t>dnieniem</w:t>
      </w:r>
      <w:r w:rsidR="00F252B9" w:rsidRPr="008A0C8E">
        <w:rPr>
          <w:rFonts w:cstheme="minorHAnsi"/>
          <w:sz w:val="24"/>
          <w:szCs w:val="24"/>
        </w:rPr>
        <w:t xml:space="preserve"> w</w:t>
      </w:r>
      <w:r w:rsidR="00442184">
        <w:rPr>
          <w:rFonts w:cstheme="minorHAnsi"/>
          <w:sz w:val="24"/>
          <w:szCs w:val="24"/>
        </w:rPr>
        <w:t> </w:t>
      </w:r>
      <w:r w:rsidR="00F252B9" w:rsidRPr="008A0C8E">
        <w:rPr>
          <w:rFonts w:cstheme="minorHAnsi"/>
          <w:sz w:val="24"/>
          <w:szCs w:val="24"/>
        </w:rPr>
        <w:t xml:space="preserve">sprawie, w której </w:t>
      </w:r>
      <w:r w:rsidRPr="008A0C8E">
        <w:rPr>
          <w:rFonts w:cstheme="minorHAnsi"/>
          <w:sz w:val="24"/>
          <w:szCs w:val="24"/>
        </w:rPr>
        <w:t>jurysdykcja</w:t>
      </w:r>
      <w:r w:rsidR="00F252B9" w:rsidRPr="008A0C8E">
        <w:rPr>
          <w:rFonts w:cstheme="minorHAnsi"/>
          <w:sz w:val="24"/>
          <w:szCs w:val="24"/>
        </w:rPr>
        <w:t xml:space="preserve"> krajowa oceniana była w </w:t>
      </w:r>
      <w:r w:rsidRPr="008A0C8E">
        <w:rPr>
          <w:rFonts w:cstheme="minorHAnsi"/>
          <w:sz w:val="24"/>
          <w:szCs w:val="24"/>
        </w:rPr>
        <w:t>świetl</w:t>
      </w:r>
      <w:r>
        <w:rPr>
          <w:rFonts w:cstheme="minorHAnsi"/>
          <w:sz w:val="24"/>
          <w:szCs w:val="24"/>
        </w:rPr>
        <w:t>e</w:t>
      </w:r>
      <w:r w:rsidR="00F252B9" w:rsidRPr="008A0C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rozporządzenia </w:t>
      </w:r>
      <w:r w:rsidR="00F252B9" w:rsidRPr="008A0C8E">
        <w:rPr>
          <w:rFonts w:cstheme="minorHAnsi"/>
          <w:bCs/>
          <w:sz w:val="24"/>
          <w:szCs w:val="24"/>
          <w:shd w:val="clear" w:color="auto" w:fill="FFFFFF"/>
        </w:rPr>
        <w:t>nr 1215/2012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lub</w:t>
      </w:r>
      <w:r w:rsidR="00F252B9" w:rsidRPr="008A0C8E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  <w:shd w:val="clear" w:color="auto" w:fill="FFFFFF"/>
        </w:rPr>
        <w:t>r</w:t>
      </w:r>
      <w:r>
        <w:rPr>
          <w:rFonts w:cstheme="minorHAnsi"/>
          <w:sz w:val="24"/>
          <w:szCs w:val="24"/>
        </w:rPr>
        <w:t xml:space="preserve">ozporządzenia </w:t>
      </w:r>
      <w:r w:rsidR="00F252B9" w:rsidRPr="008A0C8E">
        <w:rPr>
          <w:rFonts w:cstheme="minorHAnsi"/>
          <w:bCs/>
          <w:sz w:val="24"/>
          <w:szCs w:val="24"/>
          <w:shd w:val="clear" w:color="auto" w:fill="FFFFFF"/>
        </w:rPr>
        <w:t>nr 650/2012</w:t>
      </w:r>
      <w:r w:rsidR="00277AF8">
        <w:rPr>
          <w:rFonts w:cstheme="minorHAnsi"/>
          <w:bCs/>
          <w:sz w:val="24"/>
          <w:szCs w:val="24"/>
          <w:shd w:val="clear" w:color="auto" w:fill="FFFFFF"/>
        </w:rPr>
        <w:t xml:space="preserve"> lub </w:t>
      </w:r>
      <w:r w:rsidR="00277AF8" w:rsidRPr="00D75417">
        <w:rPr>
          <w:rFonts w:cstheme="minorHAnsi"/>
          <w:b/>
          <w:sz w:val="24"/>
          <w:szCs w:val="24"/>
        </w:rPr>
        <w:t>r</w:t>
      </w:r>
      <w:r w:rsidR="00277AF8" w:rsidRPr="00D75417">
        <w:rPr>
          <w:rFonts w:cstheme="minorHAnsi"/>
          <w:sz w:val="24"/>
          <w:szCs w:val="24"/>
        </w:rPr>
        <w:t>ozporządzeni</w:t>
      </w:r>
      <w:r w:rsidR="00277AF8" w:rsidRPr="00D75417">
        <w:rPr>
          <w:rFonts w:cstheme="minorHAnsi"/>
          <w:b/>
          <w:sz w:val="24"/>
          <w:szCs w:val="24"/>
        </w:rPr>
        <w:t>a</w:t>
      </w:r>
      <w:r w:rsidR="00277AF8" w:rsidRPr="00D75417">
        <w:rPr>
          <w:rFonts w:cstheme="minorHAnsi"/>
          <w:sz w:val="24"/>
          <w:szCs w:val="24"/>
        </w:rPr>
        <w:t xml:space="preserve"> </w:t>
      </w:r>
      <w:r w:rsidR="00277AF8" w:rsidRPr="00D75417">
        <w:rPr>
          <w:rFonts w:eastAsia="TimesNewRomanBold" w:cstheme="minorHAnsi"/>
          <w:sz w:val="24"/>
          <w:szCs w:val="24"/>
        </w:rPr>
        <w:t>nr 1896/2006</w:t>
      </w:r>
      <w:r w:rsidR="004C604B">
        <w:rPr>
          <w:rFonts w:cstheme="minorHAnsi"/>
          <w:bCs/>
          <w:sz w:val="24"/>
          <w:szCs w:val="24"/>
          <w:shd w:val="clear" w:color="auto" w:fill="FFFFFF"/>
        </w:rPr>
        <w:t>.</w:t>
      </w:r>
    </w:p>
    <w:p w14:paraId="5BB21ED6" w14:textId="3A092032" w:rsidR="00F252B9" w:rsidRPr="0049381C" w:rsidRDefault="008A0C8E" w:rsidP="00F47295">
      <w:pPr>
        <w:pStyle w:val="Akapitzlist"/>
        <w:numPr>
          <w:ilvl w:val="0"/>
          <w:numId w:val="22"/>
        </w:numPr>
        <w:spacing w:line="336" w:lineRule="auto"/>
        <w:contextualSpacing w:val="0"/>
        <w:jc w:val="both"/>
        <w:rPr>
          <w:rFonts w:eastAsia="TimesNewRomanBold" w:cstheme="minorHAnsi"/>
          <w:sz w:val="24"/>
          <w:szCs w:val="24"/>
        </w:rPr>
      </w:pPr>
      <w:r>
        <w:rPr>
          <w:rFonts w:eastAsia="TimesNewRomanBold" w:cstheme="minorHAnsi"/>
          <w:sz w:val="24"/>
          <w:szCs w:val="24"/>
        </w:rPr>
        <w:t>s</w:t>
      </w:r>
      <w:r w:rsidR="00F252B9" w:rsidRPr="008A0C8E">
        <w:rPr>
          <w:rFonts w:eastAsia="TimesNewRomanBold" w:cstheme="minorHAnsi"/>
          <w:sz w:val="24"/>
          <w:szCs w:val="24"/>
        </w:rPr>
        <w:t>porządzenie</w:t>
      </w:r>
      <w:r w:rsidRPr="008A0C8E">
        <w:rPr>
          <w:rFonts w:eastAsia="TimesNewRomanBold" w:cstheme="minorHAnsi"/>
          <w:sz w:val="24"/>
          <w:szCs w:val="24"/>
        </w:rPr>
        <w:t xml:space="preserve"> co najmniej jednego</w:t>
      </w:r>
      <w:r w:rsidR="00F252B9" w:rsidRPr="008A0C8E">
        <w:rPr>
          <w:rFonts w:eastAsia="TimesNewRomanBold" w:cstheme="minorHAnsi"/>
          <w:sz w:val="24"/>
          <w:szCs w:val="24"/>
        </w:rPr>
        <w:t xml:space="preserve"> </w:t>
      </w:r>
      <w:r w:rsidRPr="008A0C8E">
        <w:rPr>
          <w:rFonts w:eastAsia="TimesNewRomanBold" w:cstheme="minorHAnsi"/>
          <w:sz w:val="24"/>
          <w:szCs w:val="24"/>
        </w:rPr>
        <w:t>projektu</w:t>
      </w:r>
      <w:r w:rsidR="00F252B9" w:rsidRPr="008A0C8E">
        <w:rPr>
          <w:rFonts w:eastAsia="TimesNewRomanBold" w:cstheme="minorHAnsi"/>
          <w:sz w:val="24"/>
          <w:szCs w:val="24"/>
        </w:rPr>
        <w:t xml:space="preserve"> orzeczenia </w:t>
      </w:r>
      <w:r w:rsidR="00B846C0" w:rsidRPr="008A0C8E">
        <w:rPr>
          <w:rFonts w:eastAsia="TimesNewRomanBold" w:cstheme="minorHAnsi"/>
          <w:sz w:val="24"/>
          <w:szCs w:val="24"/>
        </w:rPr>
        <w:t xml:space="preserve">z </w:t>
      </w:r>
      <w:r w:rsidR="00B846C0">
        <w:rPr>
          <w:rFonts w:eastAsia="TimesNewRomanBold" w:cstheme="minorHAnsi"/>
          <w:sz w:val="24"/>
          <w:szCs w:val="24"/>
        </w:rPr>
        <w:t xml:space="preserve">uzasadnieniem </w:t>
      </w:r>
      <w:r w:rsidR="00F252B9" w:rsidRPr="008A0C8E">
        <w:rPr>
          <w:rFonts w:eastAsia="TimesNewRomanBold" w:cstheme="minorHAnsi"/>
          <w:sz w:val="24"/>
          <w:szCs w:val="24"/>
        </w:rPr>
        <w:t xml:space="preserve">kończącego </w:t>
      </w:r>
      <w:r w:rsidR="00B846C0" w:rsidRPr="0049381C">
        <w:rPr>
          <w:rFonts w:eastAsia="TimesNewRomanBold" w:cstheme="minorHAnsi"/>
          <w:sz w:val="24"/>
          <w:szCs w:val="24"/>
        </w:rPr>
        <w:t>postępowanie</w:t>
      </w:r>
      <w:r w:rsidR="00F252B9" w:rsidRPr="0049381C">
        <w:rPr>
          <w:rFonts w:eastAsia="TimesNewRomanBold" w:cstheme="minorHAnsi"/>
          <w:sz w:val="24"/>
          <w:szCs w:val="24"/>
        </w:rPr>
        <w:t xml:space="preserve"> </w:t>
      </w:r>
      <w:r w:rsidRPr="0049381C">
        <w:rPr>
          <w:rFonts w:eastAsia="TimesNewRomanBold" w:cstheme="minorHAnsi"/>
          <w:sz w:val="24"/>
          <w:szCs w:val="24"/>
        </w:rPr>
        <w:t>w sprawie</w:t>
      </w:r>
      <w:r w:rsidR="00B846C0" w:rsidRPr="0049381C">
        <w:rPr>
          <w:rFonts w:eastAsia="TimesNewRomanBold" w:cstheme="minorHAnsi"/>
          <w:sz w:val="24"/>
          <w:szCs w:val="24"/>
        </w:rPr>
        <w:t xml:space="preserve">, w której prawo właściwe </w:t>
      </w:r>
      <w:r w:rsidR="005A242B">
        <w:rPr>
          <w:rFonts w:eastAsia="TimesNewRomanBold" w:cstheme="minorHAnsi"/>
          <w:sz w:val="24"/>
          <w:szCs w:val="24"/>
        </w:rPr>
        <w:t>ustal</w:t>
      </w:r>
      <w:bookmarkStart w:id="0" w:name="_GoBack"/>
      <w:bookmarkEnd w:id="0"/>
      <w:r w:rsidR="00B846C0" w:rsidRPr="0049381C">
        <w:rPr>
          <w:rFonts w:eastAsia="TimesNewRomanBold" w:cstheme="minorHAnsi"/>
          <w:sz w:val="24"/>
          <w:szCs w:val="24"/>
        </w:rPr>
        <w:t>ano na podstawie rozporządzenia Rzym I</w:t>
      </w:r>
      <w:r w:rsidR="004C604B" w:rsidRPr="004C604B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4C604B">
        <w:rPr>
          <w:rFonts w:cstheme="minorHAnsi"/>
          <w:bCs/>
          <w:sz w:val="24"/>
          <w:szCs w:val="24"/>
          <w:shd w:val="clear" w:color="auto" w:fill="FFFFFF"/>
        </w:rPr>
        <w:t>lub</w:t>
      </w:r>
      <w:r w:rsidR="004C604B" w:rsidRPr="008A0C8E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4C604B">
        <w:rPr>
          <w:rFonts w:cstheme="minorHAnsi"/>
          <w:bCs/>
          <w:sz w:val="24"/>
          <w:szCs w:val="24"/>
          <w:shd w:val="clear" w:color="auto" w:fill="FFFFFF"/>
        </w:rPr>
        <w:t>r</w:t>
      </w:r>
      <w:r w:rsidR="004C604B">
        <w:rPr>
          <w:rFonts w:cstheme="minorHAnsi"/>
          <w:sz w:val="24"/>
          <w:szCs w:val="24"/>
        </w:rPr>
        <w:t>ozporządzenia</w:t>
      </w:r>
      <w:r w:rsidR="00B846C0" w:rsidRPr="0049381C">
        <w:rPr>
          <w:rFonts w:eastAsia="TimesNewRomanBold" w:cstheme="minorHAnsi"/>
          <w:sz w:val="24"/>
          <w:szCs w:val="24"/>
        </w:rPr>
        <w:t xml:space="preserve"> Rzym II</w:t>
      </w:r>
      <w:r w:rsidR="004C604B">
        <w:rPr>
          <w:rFonts w:eastAsia="TimesNewRomanBold" w:cstheme="minorHAnsi"/>
          <w:sz w:val="24"/>
          <w:szCs w:val="24"/>
        </w:rPr>
        <w:t xml:space="preserve"> </w:t>
      </w:r>
      <w:r w:rsidR="004C604B">
        <w:rPr>
          <w:rFonts w:cstheme="minorHAnsi"/>
          <w:bCs/>
          <w:sz w:val="24"/>
          <w:szCs w:val="24"/>
          <w:shd w:val="clear" w:color="auto" w:fill="FFFFFF"/>
        </w:rPr>
        <w:t>lub</w:t>
      </w:r>
      <w:r w:rsidR="004C604B" w:rsidRPr="008A0C8E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4C604B">
        <w:rPr>
          <w:rFonts w:cstheme="minorHAnsi"/>
          <w:bCs/>
          <w:sz w:val="24"/>
          <w:szCs w:val="24"/>
          <w:shd w:val="clear" w:color="auto" w:fill="FFFFFF"/>
        </w:rPr>
        <w:t>r</w:t>
      </w:r>
      <w:r w:rsidR="004C604B">
        <w:rPr>
          <w:rFonts w:cstheme="minorHAnsi"/>
          <w:sz w:val="24"/>
          <w:szCs w:val="24"/>
        </w:rPr>
        <w:t xml:space="preserve">ozporządzenia </w:t>
      </w:r>
      <w:r w:rsidR="004C604B" w:rsidRPr="00F252B9">
        <w:rPr>
          <w:rFonts w:cstheme="minorHAnsi"/>
          <w:bCs/>
          <w:szCs w:val="24"/>
          <w:shd w:val="clear" w:color="auto" w:fill="FFFFFF"/>
        </w:rPr>
        <w:t>nr 650/2012</w:t>
      </w:r>
      <w:r w:rsidR="00B846C0" w:rsidRPr="0049381C">
        <w:rPr>
          <w:rFonts w:eastAsia="TimesNewRomanBold" w:cstheme="minorHAnsi"/>
          <w:sz w:val="24"/>
          <w:szCs w:val="24"/>
        </w:rPr>
        <w:t>;</w:t>
      </w:r>
    </w:p>
    <w:p w14:paraId="6CCA3C8A" w14:textId="2A2CB8DB" w:rsidR="00F252B9" w:rsidRPr="0049381C" w:rsidRDefault="0049381C" w:rsidP="00442184">
      <w:pPr>
        <w:pStyle w:val="Akapitzlist"/>
        <w:numPr>
          <w:ilvl w:val="0"/>
          <w:numId w:val="22"/>
        </w:numPr>
        <w:suppressAutoHyphens/>
        <w:spacing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381C">
        <w:rPr>
          <w:rFonts w:eastAsia="Calibri" w:cstheme="minorHAnsi"/>
          <w:sz w:val="24"/>
          <w:szCs w:val="24"/>
        </w:rPr>
        <w:t>wypełnienie właściwego dokumentu: formularza w celu przeprowadzenia czynności z</w:t>
      </w:r>
      <w:r w:rsidR="00442184">
        <w:rPr>
          <w:rFonts w:eastAsia="Calibri" w:cstheme="minorHAnsi"/>
          <w:sz w:val="24"/>
          <w:szCs w:val="24"/>
        </w:rPr>
        <w:t> </w:t>
      </w:r>
      <w:r w:rsidRPr="0049381C">
        <w:rPr>
          <w:rFonts w:eastAsia="Calibri" w:cstheme="minorHAnsi"/>
          <w:sz w:val="24"/>
          <w:szCs w:val="24"/>
        </w:rPr>
        <w:t>zakresu postępowania (np. ENZ) albo zaświadczenia (np.</w:t>
      </w:r>
      <w:r>
        <w:rPr>
          <w:rFonts w:eastAsia="Calibri" w:cstheme="minorHAnsi"/>
          <w:sz w:val="24"/>
          <w:szCs w:val="24"/>
        </w:rPr>
        <w:t xml:space="preserve"> </w:t>
      </w:r>
      <w:r w:rsidRPr="0049381C">
        <w:rPr>
          <w:rFonts w:eastAsia="Calibri" w:cstheme="minorHAnsi"/>
          <w:sz w:val="24"/>
          <w:szCs w:val="24"/>
        </w:rPr>
        <w:t>EPS)</w:t>
      </w:r>
      <w:r>
        <w:rPr>
          <w:rFonts w:eastAsia="Calibri" w:cstheme="minorHAnsi"/>
          <w:sz w:val="24"/>
          <w:szCs w:val="24"/>
        </w:rPr>
        <w:t xml:space="preserve"> na </w:t>
      </w:r>
      <w:r w:rsidR="008A0C8E" w:rsidRPr="0049381C">
        <w:rPr>
          <w:rFonts w:cstheme="minorHAnsi"/>
          <w:sz w:val="24"/>
          <w:szCs w:val="24"/>
        </w:rPr>
        <w:t>stronie</w:t>
      </w:r>
      <w:r w:rsidR="00F252B9" w:rsidRPr="0049381C">
        <w:rPr>
          <w:rFonts w:cstheme="minorHAnsi"/>
          <w:sz w:val="24"/>
          <w:szCs w:val="24"/>
        </w:rPr>
        <w:t xml:space="preserve"> e-</w:t>
      </w:r>
      <w:proofErr w:type="spellStart"/>
      <w:r w:rsidR="00442184">
        <w:rPr>
          <w:rFonts w:cstheme="minorHAnsi"/>
          <w:sz w:val="24"/>
          <w:szCs w:val="24"/>
        </w:rPr>
        <w:t>s</w:t>
      </w:r>
      <w:r w:rsidR="00F252B9" w:rsidRPr="0049381C">
        <w:rPr>
          <w:rFonts w:cstheme="minorHAnsi"/>
          <w:sz w:val="24"/>
          <w:szCs w:val="24"/>
        </w:rPr>
        <w:t>prawiedliwo</w:t>
      </w:r>
      <w:r w:rsidR="005A242B">
        <w:rPr>
          <w:rFonts w:cstheme="minorHAnsi"/>
          <w:sz w:val="24"/>
          <w:szCs w:val="24"/>
        </w:rPr>
        <w:t>sc</w:t>
      </w:r>
      <w:proofErr w:type="spellEnd"/>
      <w:r w:rsidR="004C604B">
        <w:rPr>
          <w:rFonts w:cstheme="minorHAnsi"/>
          <w:sz w:val="24"/>
          <w:szCs w:val="24"/>
        </w:rPr>
        <w:t>.</w:t>
      </w:r>
    </w:p>
    <w:p w14:paraId="5D2C2E60" w14:textId="292EF84A" w:rsidR="00935C18" w:rsidRDefault="008A0C8E" w:rsidP="003553EA">
      <w:pPr>
        <w:pStyle w:val="Teksttreci60"/>
        <w:shd w:val="clear" w:color="auto" w:fill="auto"/>
        <w:tabs>
          <w:tab w:val="left" w:leader="dot" w:pos="3810"/>
        </w:tabs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9381C">
        <w:rPr>
          <w:rFonts w:asciiTheme="minorHAnsi" w:hAnsiTheme="minorHAnsi" w:cstheme="minorHAnsi"/>
          <w:sz w:val="24"/>
          <w:szCs w:val="24"/>
        </w:rPr>
        <w:t>P</w:t>
      </w:r>
      <w:r w:rsidR="00935C18" w:rsidRPr="0049381C">
        <w:rPr>
          <w:rFonts w:asciiTheme="minorHAnsi" w:hAnsiTheme="minorHAnsi" w:cstheme="minorHAnsi"/>
          <w:sz w:val="24"/>
          <w:szCs w:val="24"/>
        </w:rPr>
        <w:t>onadto informuję,</w:t>
      </w:r>
      <w:r w:rsidR="00935C18" w:rsidRPr="00F252B9">
        <w:rPr>
          <w:rFonts w:asciiTheme="minorHAnsi" w:hAnsiTheme="minorHAnsi" w:cstheme="minorHAnsi"/>
          <w:sz w:val="24"/>
          <w:szCs w:val="24"/>
        </w:rPr>
        <w:t xml:space="preserve"> że przedmiotem sprawdzianu, który aplikanci będą pisać po zakończeniu praktyki, będzie </w:t>
      </w:r>
      <w:r w:rsidR="00CF4CB3" w:rsidRPr="00F252B9">
        <w:rPr>
          <w:rFonts w:asciiTheme="minorHAnsi" w:eastAsia="Calibri" w:hAnsiTheme="minorHAnsi" w:cstheme="minorHAnsi"/>
          <w:sz w:val="24"/>
          <w:szCs w:val="24"/>
        </w:rPr>
        <w:t xml:space="preserve">przygotowanie projektu orzeczenia w sprawie, w której należało zastosować prawo unijne. </w:t>
      </w:r>
      <w:r w:rsidR="00935C18" w:rsidRPr="00F252B9">
        <w:rPr>
          <w:rFonts w:asciiTheme="minorHAnsi" w:hAnsiTheme="minorHAnsi" w:cstheme="minorHAnsi"/>
          <w:sz w:val="24"/>
          <w:szCs w:val="24"/>
        </w:rPr>
        <w:t xml:space="preserve">Tak więc koniecznym jest zwrócenie szczególnej uwagi na nabycie przez aplikantów umiejętności samodzielnego opracowywania projektów orzeczeń wraz z uzasadnieniem w tego rodzaju sprawach. </w:t>
      </w:r>
    </w:p>
    <w:p w14:paraId="09F7F22C" w14:textId="77777777" w:rsidR="003553EA" w:rsidRPr="00F252B9" w:rsidRDefault="003553EA" w:rsidP="003553EA">
      <w:pPr>
        <w:pStyle w:val="Teksttreci60"/>
        <w:shd w:val="clear" w:color="auto" w:fill="auto"/>
        <w:tabs>
          <w:tab w:val="left" w:leader="dot" w:pos="3810"/>
        </w:tabs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8D44E8C" w14:textId="77777777" w:rsidR="00935C18" w:rsidRPr="00F252B9" w:rsidRDefault="00935C18" w:rsidP="003553EA">
      <w:pPr>
        <w:pStyle w:val="Akapitzlist"/>
        <w:spacing w:after="0" w:line="336" w:lineRule="auto"/>
        <w:ind w:left="3631" w:firstLine="618"/>
        <w:contextualSpacing w:val="0"/>
        <w:rPr>
          <w:rFonts w:eastAsia="Calibri" w:cstheme="minorHAnsi"/>
          <w:sz w:val="24"/>
          <w:szCs w:val="24"/>
        </w:rPr>
      </w:pPr>
      <w:r w:rsidRPr="00F252B9">
        <w:rPr>
          <w:rFonts w:eastAsia="Calibri" w:cstheme="minorHAnsi"/>
          <w:sz w:val="24"/>
          <w:szCs w:val="24"/>
        </w:rPr>
        <w:t>Kierownik Działu Dydaktycznego OAS</w:t>
      </w:r>
    </w:p>
    <w:p w14:paraId="23D61FEA" w14:textId="77777777" w:rsidR="00935C18" w:rsidRPr="00F252B9" w:rsidRDefault="00935C18" w:rsidP="003553EA">
      <w:pPr>
        <w:pStyle w:val="Akapitzlist"/>
        <w:spacing w:after="0" w:line="336" w:lineRule="auto"/>
        <w:ind w:left="4339" w:firstLine="618"/>
        <w:contextualSpacing w:val="0"/>
        <w:rPr>
          <w:rFonts w:eastAsia="Calibri" w:cstheme="minorHAnsi"/>
          <w:sz w:val="24"/>
          <w:szCs w:val="24"/>
        </w:rPr>
      </w:pPr>
      <w:r w:rsidRPr="00F252B9">
        <w:rPr>
          <w:rFonts w:eastAsia="Calibri" w:cstheme="minorHAnsi"/>
          <w:sz w:val="24"/>
          <w:szCs w:val="24"/>
        </w:rPr>
        <w:t>Magdalena Nagaduś</w:t>
      </w:r>
    </w:p>
    <w:p w14:paraId="36AB1AB4" w14:textId="646F2F07" w:rsidR="00935C18" w:rsidRPr="00F252B9" w:rsidRDefault="00935C18" w:rsidP="003553EA">
      <w:pPr>
        <w:pStyle w:val="Akapitzlist"/>
        <w:spacing w:after="120" w:line="336" w:lineRule="auto"/>
        <w:ind w:left="5047" w:firstLine="617"/>
        <w:contextualSpacing w:val="0"/>
        <w:rPr>
          <w:rFonts w:cstheme="minorHAnsi"/>
          <w:sz w:val="24"/>
          <w:szCs w:val="24"/>
        </w:rPr>
      </w:pPr>
      <w:r w:rsidRPr="00F252B9">
        <w:rPr>
          <w:rFonts w:eastAsia="Calibri" w:cstheme="minorHAnsi"/>
          <w:sz w:val="24"/>
          <w:szCs w:val="24"/>
        </w:rPr>
        <w:t>sędzia</w:t>
      </w:r>
    </w:p>
    <w:sectPr w:rsidR="00935C18" w:rsidRPr="00F252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AE20" w14:textId="77777777" w:rsidR="00C21783" w:rsidRDefault="00C21783" w:rsidP="007A3737">
      <w:pPr>
        <w:spacing w:after="0" w:line="240" w:lineRule="auto"/>
      </w:pPr>
      <w:r>
        <w:separator/>
      </w:r>
    </w:p>
  </w:endnote>
  <w:endnote w:type="continuationSeparator" w:id="0">
    <w:p w14:paraId="0A4936F1" w14:textId="77777777" w:rsidR="00C21783" w:rsidRDefault="00C21783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Bold">
    <w:charset w:val="00"/>
    <w:family w:val="roman"/>
    <w:pitch w:val="default"/>
  </w:font>
  <w:font w:name="TimesNewRomanBold+0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18075"/>
      <w:docPartObj>
        <w:docPartGallery w:val="Page Numbers (Bottom of Page)"/>
        <w:docPartUnique/>
      </w:docPartObj>
    </w:sdtPr>
    <w:sdtEndPr/>
    <w:sdtContent>
      <w:p w14:paraId="45D85F1D" w14:textId="18C4E535" w:rsidR="007A3737" w:rsidRDefault="007A3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37">
          <w:rPr>
            <w:noProof/>
          </w:rPr>
          <w:t>13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C666F" w14:textId="77777777" w:rsidR="00C21783" w:rsidRDefault="00C21783" w:rsidP="007A3737">
      <w:pPr>
        <w:spacing w:after="0" w:line="240" w:lineRule="auto"/>
      </w:pPr>
      <w:r>
        <w:separator/>
      </w:r>
    </w:p>
  </w:footnote>
  <w:footnote w:type="continuationSeparator" w:id="0">
    <w:p w14:paraId="14C8F225" w14:textId="77777777" w:rsidR="00C21783" w:rsidRDefault="00C21783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FEE4760"/>
    <w:multiLevelType w:val="hybridMultilevel"/>
    <w:tmpl w:val="6CF099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BD88196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B01FD"/>
    <w:multiLevelType w:val="hybridMultilevel"/>
    <w:tmpl w:val="047C5D78"/>
    <w:lvl w:ilvl="0" w:tplc="7B363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0A44"/>
    <w:multiLevelType w:val="hybridMultilevel"/>
    <w:tmpl w:val="FF609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601"/>
    <w:multiLevelType w:val="hybridMultilevel"/>
    <w:tmpl w:val="FD22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BE"/>
    <w:multiLevelType w:val="hybridMultilevel"/>
    <w:tmpl w:val="1B003A7E"/>
    <w:lvl w:ilvl="0" w:tplc="B002B1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952F8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0F3B21"/>
    <w:multiLevelType w:val="hybridMultilevel"/>
    <w:tmpl w:val="17C0A2F2"/>
    <w:lvl w:ilvl="0" w:tplc="D19258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82305"/>
    <w:multiLevelType w:val="hybridMultilevel"/>
    <w:tmpl w:val="72B4E2F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533F"/>
    <w:multiLevelType w:val="hybridMultilevel"/>
    <w:tmpl w:val="49386328"/>
    <w:lvl w:ilvl="0" w:tplc="6B5E7FD6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325C20F5"/>
    <w:multiLevelType w:val="hybridMultilevel"/>
    <w:tmpl w:val="435C8FE8"/>
    <w:lvl w:ilvl="0" w:tplc="2ED86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423D"/>
    <w:multiLevelType w:val="hybridMultilevel"/>
    <w:tmpl w:val="A418BE4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87B75"/>
    <w:multiLevelType w:val="hybridMultilevel"/>
    <w:tmpl w:val="5ED23C84"/>
    <w:lvl w:ilvl="0" w:tplc="C26E7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CA44F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53C33869"/>
    <w:multiLevelType w:val="hybridMultilevel"/>
    <w:tmpl w:val="9AC4E524"/>
    <w:lvl w:ilvl="0" w:tplc="45D2F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74C"/>
    <w:multiLevelType w:val="hybridMultilevel"/>
    <w:tmpl w:val="3154DCBE"/>
    <w:lvl w:ilvl="0" w:tplc="276CA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7D738D"/>
    <w:multiLevelType w:val="hybridMultilevel"/>
    <w:tmpl w:val="63DE94E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231"/>
    <w:multiLevelType w:val="hybridMultilevel"/>
    <w:tmpl w:val="6406D6A2"/>
    <w:lvl w:ilvl="0" w:tplc="7B363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574482"/>
    <w:multiLevelType w:val="hybridMultilevel"/>
    <w:tmpl w:val="D1D8D1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24F9A"/>
    <w:multiLevelType w:val="hybridMultilevel"/>
    <w:tmpl w:val="29CE2808"/>
    <w:lvl w:ilvl="0" w:tplc="6B5E7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04249"/>
    <w:multiLevelType w:val="hybridMultilevel"/>
    <w:tmpl w:val="662ABAD4"/>
    <w:lvl w:ilvl="0" w:tplc="6B5E7FD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20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10"/>
  </w:num>
  <w:num w:numId="12">
    <w:abstractNumId w:val="24"/>
  </w:num>
  <w:num w:numId="13">
    <w:abstractNumId w:val="1"/>
  </w:num>
  <w:num w:numId="14">
    <w:abstractNumId w:val="3"/>
  </w:num>
  <w:num w:numId="15">
    <w:abstractNumId w:val="19"/>
  </w:num>
  <w:num w:numId="16">
    <w:abstractNumId w:val="13"/>
  </w:num>
  <w:num w:numId="17">
    <w:abstractNumId w:val="22"/>
  </w:num>
  <w:num w:numId="18">
    <w:abstractNumId w:val="15"/>
  </w:num>
  <w:num w:numId="19">
    <w:abstractNumId w:val="0"/>
  </w:num>
  <w:num w:numId="20">
    <w:abstractNumId w:val="14"/>
  </w:num>
  <w:num w:numId="21">
    <w:abstractNumId w:val="16"/>
  </w:num>
  <w:num w:numId="22">
    <w:abstractNumId w:val="17"/>
  </w:num>
  <w:num w:numId="23">
    <w:abstractNumId w:val="4"/>
  </w:num>
  <w:num w:numId="24">
    <w:abstractNumId w:val="21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112E5"/>
    <w:rsid w:val="00024877"/>
    <w:rsid w:val="000259B8"/>
    <w:rsid w:val="0002660C"/>
    <w:rsid w:val="0003115E"/>
    <w:rsid w:val="00037622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C72BF"/>
    <w:rsid w:val="000D390A"/>
    <w:rsid w:val="000D47D3"/>
    <w:rsid w:val="000D72D7"/>
    <w:rsid w:val="000D7741"/>
    <w:rsid w:val="00113242"/>
    <w:rsid w:val="0012274A"/>
    <w:rsid w:val="0014494A"/>
    <w:rsid w:val="00154493"/>
    <w:rsid w:val="001650F1"/>
    <w:rsid w:val="0018682B"/>
    <w:rsid w:val="00186991"/>
    <w:rsid w:val="00196F24"/>
    <w:rsid w:val="001B3145"/>
    <w:rsid w:val="001D1921"/>
    <w:rsid w:val="001D2601"/>
    <w:rsid w:val="001E733E"/>
    <w:rsid w:val="00207F54"/>
    <w:rsid w:val="002166AC"/>
    <w:rsid w:val="00217BC0"/>
    <w:rsid w:val="00226646"/>
    <w:rsid w:val="00234C07"/>
    <w:rsid w:val="0024286F"/>
    <w:rsid w:val="0026078F"/>
    <w:rsid w:val="00272867"/>
    <w:rsid w:val="00274DFC"/>
    <w:rsid w:val="00277AF8"/>
    <w:rsid w:val="00281A6D"/>
    <w:rsid w:val="002834BA"/>
    <w:rsid w:val="00291B28"/>
    <w:rsid w:val="0029633C"/>
    <w:rsid w:val="002979DB"/>
    <w:rsid w:val="002A2137"/>
    <w:rsid w:val="002A75B3"/>
    <w:rsid w:val="002A75E2"/>
    <w:rsid w:val="002A7BD1"/>
    <w:rsid w:val="002D4150"/>
    <w:rsid w:val="002E25A4"/>
    <w:rsid w:val="002E52C1"/>
    <w:rsid w:val="002F0913"/>
    <w:rsid w:val="00315167"/>
    <w:rsid w:val="00330BA1"/>
    <w:rsid w:val="00340680"/>
    <w:rsid w:val="00343B4B"/>
    <w:rsid w:val="0034535B"/>
    <w:rsid w:val="003469CD"/>
    <w:rsid w:val="00350801"/>
    <w:rsid w:val="003553EA"/>
    <w:rsid w:val="003730BA"/>
    <w:rsid w:val="003949BE"/>
    <w:rsid w:val="003E0435"/>
    <w:rsid w:val="003E1594"/>
    <w:rsid w:val="00406F30"/>
    <w:rsid w:val="004132D5"/>
    <w:rsid w:val="00422426"/>
    <w:rsid w:val="00424319"/>
    <w:rsid w:val="0043159D"/>
    <w:rsid w:val="00434642"/>
    <w:rsid w:val="00442184"/>
    <w:rsid w:val="00456305"/>
    <w:rsid w:val="004601AF"/>
    <w:rsid w:val="00462BBE"/>
    <w:rsid w:val="004706A5"/>
    <w:rsid w:val="00472932"/>
    <w:rsid w:val="00483814"/>
    <w:rsid w:val="0049381C"/>
    <w:rsid w:val="004B63D6"/>
    <w:rsid w:val="004C604B"/>
    <w:rsid w:val="004E35CD"/>
    <w:rsid w:val="004F5B6D"/>
    <w:rsid w:val="00507C03"/>
    <w:rsid w:val="005114D9"/>
    <w:rsid w:val="00517E09"/>
    <w:rsid w:val="00532FE5"/>
    <w:rsid w:val="00541F6A"/>
    <w:rsid w:val="00545E0F"/>
    <w:rsid w:val="005522A4"/>
    <w:rsid w:val="00553C00"/>
    <w:rsid w:val="00555E20"/>
    <w:rsid w:val="005644AA"/>
    <w:rsid w:val="005833B6"/>
    <w:rsid w:val="00585895"/>
    <w:rsid w:val="00590A69"/>
    <w:rsid w:val="00592194"/>
    <w:rsid w:val="005A242B"/>
    <w:rsid w:val="005B1F43"/>
    <w:rsid w:val="005B787C"/>
    <w:rsid w:val="005C3332"/>
    <w:rsid w:val="005E0E2A"/>
    <w:rsid w:val="005F6D5F"/>
    <w:rsid w:val="00615EA6"/>
    <w:rsid w:val="0062460E"/>
    <w:rsid w:val="00625C23"/>
    <w:rsid w:val="00636D92"/>
    <w:rsid w:val="0064553D"/>
    <w:rsid w:val="006455CB"/>
    <w:rsid w:val="00651FF3"/>
    <w:rsid w:val="006531DF"/>
    <w:rsid w:val="006539FC"/>
    <w:rsid w:val="0067042F"/>
    <w:rsid w:val="00672114"/>
    <w:rsid w:val="0067750E"/>
    <w:rsid w:val="00693975"/>
    <w:rsid w:val="006B3C24"/>
    <w:rsid w:val="006E4ADB"/>
    <w:rsid w:val="006F4369"/>
    <w:rsid w:val="0072197F"/>
    <w:rsid w:val="0072601D"/>
    <w:rsid w:val="00736D20"/>
    <w:rsid w:val="00740D8D"/>
    <w:rsid w:val="00754ECD"/>
    <w:rsid w:val="00757562"/>
    <w:rsid w:val="00757FA0"/>
    <w:rsid w:val="007637C5"/>
    <w:rsid w:val="007662B6"/>
    <w:rsid w:val="00770C81"/>
    <w:rsid w:val="00770CCF"/>
    <w:rsid w:val="00771424"/>
    <w:rsid w:val="0078016A"/>
    <w:rsid w:val="007837A0"/>
    <w:rsid w:val="00792C77"/>
    <w:rsid w:val="007A3737"/>
    <w:rsid w:val="007B0D7D"/>
    <w:rsid w:val="007B666D"/>
    <w:rsid w:val="007E7D4F"/>
    <w:rsid w:val="007F1F09"/>
    <w:rsid w:val="007F3590"/>
    <w:rsid w:val="007F64EA"/>
    <w:rsid w:val="0081050B"/>
    <w:rsid w:val="00823913"/>
    <w:rsid w:val="008268D6"/>
    <w:rsid w:val="008279B4"/>
    <w:rsid w:val="008316C9"/>
    <w:rsid w:val="0084739C"/>
    <w:rsid w:val="00853D61"/>
    <w:rsid w:val="008555B6"/>
    <w:rsid w:val="00862461"/>
    <w:rsid w:val="0089632B"/>
    <w:rsid w:val="008A0C8E"/>
    <w:rsid w:val="008A214D"/>
    <w:rsid w:val="008B33F3"/>
    <w:rsid w:val="008D1493"/>
    <w:rsid w:val="008D235D"/>
    <w:rsid w:val="008E6A09"/>
    <w:rsid w:val="008F1664"/>
    <w:rsid w:val="008F4D2D"/>
    <w:rsid w:val="0090544C"/>
    <w:rsid w:val="009054EE"/>
    <w:rsid w:val="00912AFD"/>
    <w:rsid w:val="00935C18"/>
    <w:rsid w:val="00935D02"/>
    <w:rsid w:val="0094588C"/>
    <w:rsid w:val="00957792"/>
    <w:rsid w:val="00977FF6"/>
    <w:rsid w:val="00997613"/>
    <w:rsid w:val="009A0993"/>
    <w:rsid w:val="009B5F5E"/>
    <w:rsid w:val="009B6A2F"/>
    <w:rsid w:val="009B7686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6FE0"/>
    <w:rsid w:val="00AC3A2C"/>
    <w:rsid w:val="00AC3D44"/>
    <w:rsid w:val="00AF17BA"/>
    <w:rsid w:val="00AF6771"/>
    <w:rsid w:val="00B141A6"/>
    <w:rsid w:val="00B16937"/>
    <w:rsid w:val="00B20EB2"/>
    <w:rsid w:val="00B35E0C"/>
    <w:rsid w:val="00B36F14"/>
    <w:rsid w:val="00B6065F"/>
    <w:rsid w:val="00B61B41"/>
    <w:rsid w:val="00B64A5F"/>
    <w:rsid w:val="00B81010"/>
    <w:rsid w:val="00B846C0"/>
    <w:rsid w:val="00BE4496"/>
    <w:rsid w:val="00C005C1"/>
    <w:rsid w:val="00C0646F"/>
    <w:rsid w:val="00C12BA7"/>
    <w:rsid w:val="00C12DF3"/>
    <w:rsid w:val="00C17795"/>
    <w:rsid w:val="00C21783"/>
    <w:rsid w:val="00C32188"/>
    <w:rsid w:val="00C71817"/>
    <w:rsid w:val="00C752CA"/>
    <w:rsid w:val="00C87FD1"/>
    <w:rsid w:val="00C90DAB"/>
    <w:rsid w:val="00C94EE3"/>
    <w:rsid w:val="00C96B28"/>
    <w:rsid w:val="00CA66FE"/>
    <w:rsid w:val="00CC245C"/>
    <w:rsid w:val="00CD7CC9"/>
    <w:rsid w:val="00CE2765"/>
    <w:rsid w:val="00CF3A5D"/>
    <w:rsid w:val="00CF3D52"/>
    <w:rsid w:val="00CF4CB3"/>
    <w:rsid w:val="00CF5FD5"/>
    <w:rsid w:val="00D015BE"/>
    <w:rsid w:val="00D0656E"/>
    <w:rsid w:val="00D111DB"/>
    <w:rsid w:val="00D15323"/>
    <w:rsid w:val="00D17677"/>
    <w:rsid w:val="00D30854"/>
    <w:rsid w:val="00D35DB8"/>
    <w:rsid w:val="00D43EBE"/>
    <w:rsid w:val="00D5290B"/>
    <w:rsid w:val="00D52C0A"/>
    <w:rsid w:val="00D5421A"/>
    <w:rsid w:val="00D7351B"/>
    <w:rsid w:val="00D75417"/>
    <w:rsid w:val="00D7629E"/>
    <w:rsid w:val="00D83BFB"/>
    <w:rsid w:val="00D92474"/>
    <w:rsid w:val="00DA5AC5"/>
    <w:rsid w:val="00DA74D2"/>
    <w:rsid w:val="00DA74F0"/>
    <w:rsid w:val="00DB0C5A"/>
    <w:rsid w:val="00DD2273"/>
    <w:rsid w:val="00DD2678"/>
    <w:rsid w:val="00DE0CC4"/>
    <w:rsid w:val="00DE7A7C"/>
    <w:rsid w:val="00DF2B03"/>
    <w:rsid w:val="00DF32FA"/>
    <w:rsid w:val="00E05AD3"/>
    <w:rsid w:val="00E34EE2"/>
    <w:rsid w:val="00E63103"/>
    <w:rsid w:val="00E64B16"/>
    <w:rsid w:val="00E71ED1"/>
    <w:rsid w:val="00E84478"/>
    <w:rsid w:val="00EB4EA0"/>
    <w:rsid w:val="00ED5C16"/>
    <w:rsid w:val="00ED7B53"/>
    <w:rsid w:val="00EE1805"/>
    <w:rsid w:val="00EF1B81"/>
    <w:rsid w:val="00F07C80"/>
    <w:rsid w:val="00F2357D"/>
    <w:rsid w:val="00F252B9"/>
    <w:rsid w:val="00F360F4"/>
    <w:rsid w:val="00F45BC2"/>
    <w:rsid w:val="00F47295"/>
    <w:rsid w:val="00F52523"/>
    <w:rsid w:val="00F5611B"/>
    <w:rsid w:val="00F56D35"/>
    <w:rsid w:val="00F57820"/>
    <w:rsid w:val="00F6114C"/>
    <w:rsid w:val="00F65EB8"/>
    <w:rsid w:val="00F66DEC"/>
    <w:rsid w:val="00F73855"/>
    <w:rsid w:val="00F75BA4"/>
    <w:rsid w:val="00F76B60"/>
    <w:rsid w:val="00F825BA"/>
    <w:rsid w:val="00F954F9"/>
    <w:rsid w:val="00FA0B71"/>
    <w:rsid w:val="00FB6B69"/>
    <w:rsid w:val="00FC41A1"/>
    <w:rsid w:val="00FC5097"/>
    <w:rsid w:val="00FE684A"/>
    <w:rsid w:val="00FF3B73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  <w15:docId w15:val="{85917DBA-B7F6-403B-9B1D-8853783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FE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Style">
    <w:name w:val="TitleStyle"/>
    <w:qFormat/>
    <w:rsid w:val="00CF4CB3"/>
    <w:pPr>
      <w:suppressAutoHyphens/>
      <w:spacing w:after="200" w:line="240" w:lineRule="auto"/>
    </w:pPr>
    <w:rPr>
      <w:rFonts w:ascii="Times New Roman" w:eastAsia="Times New Roman" w:hAnsi="Times New Roman" w:cs="Times New Roman"/>
      <w:b/>
      <w:color w:val="000000"/>
      <w:sz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3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985D-71B1-4103-89EA-06599ACB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Magdalena Nagaduś</cp:lastModifiedBy>
  <cp:revision>11</cp:revision>
  <cp:lastPrinted>2025-02-20T08:08:00Z</cp:lastPrinted>
  <dcterms:created xsi:type="dcterms:W3CDTF">2025-02-19T14:43:00Z</dcterms:created>
  <dcterms:modified xsi:type="dcterms:W3CDTF">2025-02-20T11:23:00Z</dcterms:modified>
</cp:coreProperties>
</file>