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D9414" w14:textId="7ED924FF" w:rsidR="006C248D" w:rsidRDefault="00700214" w:rsidP="00700214">
      <w:pPr>
        <w:tabs>
          <w:tab w:val="left" w:pos="3402"/>
        </w:tabs>
        <w:spacing w:line="360" w:lineRule="auto"/>
        <w:rPr>
          <w:rFonts w:eastAsia="Calibri"/>
        </w:rPr>
      </w:pPr>
      <w:bookmarkStart w:id="0" w:name="ezdSprawaZnak"/>
      <w:bookmarkStart w:id="1" w:name="_GoBack"/>
      <w:bookmarkEnd w:id="1"/>
      <w:r>
        <w:rPr>
          <w:rFonts w:eastAsia="Calibri"/>
          <w:szCs w:val="26"/>
          <w:lang w:eastAsia="en-US"/>
        </w:rPr>
        <w:t>OAP-II.420.2.4.202</w:t>
      </w:r>
      <w:bookmarkEnd w:id="0"/>
      <w:r>
        <w:rPr>
          <w:rFonts w:eastAsia="Calibri"/>
          <w:szCs w:val="26"/>
          <w:lang w:eastAsia="en-US"/>
        </w:rPr>
        <w:t>4</w:t>
      </w:r>
      <w:r>
        <w:rPr>
          <w:rFonts w:eastAsia="Calibri"/>
          <w:szCs w:val="26"/>
          <w:lang w:eastAsia="en-US"/>
        </w:rPr>
        <w:tab/>
      </w:r>
      <w:r>
        <w:rPr>
          <w:rFonts w:eastAsia="Calibri"/>
          <w:szCs w:val="26"/>
          <w:lang w:eastAsia="en-US"/>
        </w:rPr>
        <w:tab/>
      </w:r>
      <w:r>
        <w:rPr>
          <w:rFonts w:eastAsia="Calibri"/>
          <w:szCs w:val="26"/>
          <w:lang w:eastAsia="en-US"/>
        </w:rPr>
        <w:tab/>
      </w:r>
      <w:r>
        <w:rPr>
          <w:rFonts w:eastAsia="Calibri"/>
          <w:szCs w:val="26"/>
          <w:lang w:eastAsia="en-US"/>
        </w:rPr>
        <w:tab/>
        <w:t xml:space="preserve"> </w:t>
      </w:r>
      <w:r w:rsidR="006C248D">
        <w:rPr>
          <w:rFonts w:eastAsia="Calibri"/>
        </w:rPr>
        <w:t>Kraków, dnia</w:t>
      </w:r>
      <w:r>
        <w:rPr>
          <w:rFonts w:eastAsia="Calibri"/>
        </w:rPr>
        <w:t xml:space="preserve"> </w:t>
      </w:r>
      <w:r w:rsidR="006C248D">
        <w:rPr>
          <w:rFonts w:eastAsia="Calibri"/>
        </w:rPr>
        <w:t xml:space="preserve"> </w:t>
      </w:r>
      <w:r w:rsidR="002209F7">
        <w:rPr>
          <w:rFonts w:eastAsia="Calibri"/>
        </w:rPr>
        <w:t xml:space="preserve">9 </w:t>
      </w:r>
      <w:r>
        <w:rPr>
          <w:rFonts w:eastAsia="Calibri"/>
        </w:rPr>
        <w:t xml:space="preserve">stycznia </w:t>
      </w:r>
      <w:r w:rsidR="006C248D">
        <w:rPr>
          <w:rFonts w:eastAsia="Calibri"/>
        </w:rPr>
        <w:t>2025 r.</w:t>
      </w:r>
    </w:p>
    <w:p w14:paraId="7B640584" w14:textId="76CA9366" w:rsidR="006C248D" w:rsidRDefault="006C248D" w:rsidP="00700214">
      <w:pPr>
        <w:spacing w:line="360" w:lineRule="auto"/>
        <w:rPr>
          <w:rFonts w:eastAsia="Calibri"/>
          <w:szCs w:val="26"/>
          <w:lang w:eastAsia="en-US"/>
        </w:rPr>
      </w:pPr>
    </w:p>
    <w:p w14:paraId="47349050" w14:textId="77777777" w:rsidR="006C248D" w:rsidRDefault="006C248D" w:rsidP="006C248D">
      <w:pPr>
        <w:spacing w:line="360" w:lineRule="auto"/>
        <w:jc w:val="both"/>
        <w:rPr>
          <w:szCs w:val="26"/>
        </w:rPr>
      </w:pPr>
    </w:p>
    <w:p w14:paraId="4691348A" w14:textId="77777777" w:rsidR="006C248D" w:rsidRDefault="006C248D" w:rsidP="006C248D">
      <w:pPr>
        <w:spacing w:line="360" w:lineRule="auto"/>
        <w:jc w:val="both"/>
        <w:rPr>
          <w:szCs w:val="26"/>
        </w:rPr>
      </w:pPr>
    </w:p>
    <w:p w14:paraId="4B99660D" w14:textId="77777777" w:rsidR="006C248D" w:rsidRDefault="006C248D" w:rsidP="006C248D">
      <w:pPr>
        <w:spacing w:after="120" w:line="276" w:lineRule="auto"/>
        <w:ind w:left="4956" w:firstLine="708"/>
        <w:rPr>
          <w:b/>
        </w:rPr>
      </w:pPr>
      <w:r>
        <w:rPr>
          <w:b/>
        </w:rPr>
        <w:t>Patroni Koordynatorzy</w:t>
      </w:r>
    </w:p>
    <w:p w14:paraId="56ECEB58" w14:textId="77777777" w:rsidR="006C248D" w:rsidRDefault="006C248D" w:rsidP="006C248D">
      <w:pPr>
        <w:spacing w:after="120" w:line="276" w:lineRule="auto"/>
        <w:rPr>
          <w:b/>
        </w:rPr>
      </w:pPr>
      <w:r>
        <w:rPr>
          <w:b/>
        </w:rPr>
        <w:t xml:space="preserve">                                                                                               oraz Patroni Praktyk                                                                       </w:t>
      </w:r>
    </w:p>
    <w:p w14:paraId="5A0D7B04" w14:textId="77777777" w:rsidR="006C248D" w:rsidRDefault="006C248D" w:rsidP="006C248D">
      <w:pPr>
        <w:spacing w:after="120" w:line="276" w:lineRule="auto"/>
        <w:ind w:left="5664"/>
        <w:rPr>
          <w:b/>
        </w:rPr>
      </w:pPr>
      <w:r>
        <w:rPr>
          <w:b/>
        </w:rPr>
        <w:t xml:space="preserve"> aplikantów aplikacji   </w:t>
      </w:r>
    </w:p>
    <w:p w14:paraId="52351F72" w14:textId="77777777" w:rsidR="006C248D" w:rsidRDefault="006C248D" w:rsidP="006C248D">
      <w:pPr>
        <w:spacing w:after="120" w:line="276" w:lineRule="auto"/>
        <w:ind w:left="5664"/>
        <w:rPr>
          <w:b/>
        </w:rPr>
      </w:pPr>
      <w:r>
        <w:rPr>
          <w:b/>
        </w:rPr>
        <w:t xml:space="preserve"> prokuratorskiej</w:t>
      </w:r>
    </w:p>
    <w:p w14:paraId="5B042DD5" w14:textId="77777777" w:rsidR="006C248D" w:rsidRDefault="006C248D" w:rsidP="006C248D">
      <w:pPr>
        <w:spacing w:after="120" w:line="276" w:lineRule="auto"/>
      </w:pPr>
      <w:r>
        <w:t xml:space="preserve">                                                                                                                                                                         </w:t>
      </w:r>
    </w:p>
    <w:p w14:paraId="4A5F20EA" w14:textId="5E4CB170" w:rsidR="006C248D" w:rsidRDefault="006C248D" w:rsidP="006C248D">
      <w:pPr>
        <w:spacing w:after="120" w:line="276" w:lineRule="auto"/>
        <w:rPr>
          <w:b/>
          <w:i/>
        </w:rPr>
      </w:pPr>
      <w:r>
        <w:rPr>
          <w:b/>
          <w:i/>
        </w:rPr>
        <w:t>Dotyczy:  praktyk aplikantów aplikacji prokuratorskiej XI</w:t>
      </w:r>
      <w:r w:rsidR="00521727">
        <w:rPr>
          <w:b/>
          <w:i/>
        </w:rPr>
        <w:t>V</w:t>
      </w:r>
      <w:r>
        <w:rPr>
          <w:b/>
          <w:i/>
        </w:rPr>
        <w:t>. rocznika po 26. zjeździe</w:t>
      </w:r>
    </w:p>
    <w:p w14:paraId="3E7E975C" w14:textId="77777777" w:rsidR="006C248D" w:rsidRDefault="006C248D" w:rsidP="006C248D">
      <w:pPr>
        <w:spacing w:after="120" w:line="276" w:lineRule="auto"/>
        <w:rPr>
          <w:b/>
          <w:i/>
        </w:rPr>
      </w:pPr>
    </w:p>
    <w:p w14:paraId="198182E9" w14:textId="0001996D" w:rsidR="006C248D" w:rsidRDefault="006C248D" w:rsidP="006C248D">
      <w:pPr>
        <w:spacing w:after="120" w:line="276" w:lineRule="auto"/>
        <w:ind w:firstLine="708"/>
        <w:jc w:val="both"/>
      </w:pPr>
      <w:r>
        <w:t xml:space="preserve">W oparciu o § 1 ust. 2 zarządzenia Dyrektora Krajowej Szkoły Sądownictwa </w:t>
      </w:r>
      <w:r>
        <w:br/>
        <w:t xml:space="preserve">i  Prokuratury w Krakowie Nr 539/2021 z dnia 27 października 2021 roku w sprawie szczegółowych zasad odbywania praktyki przez aplikantów aplikacji sędziowskiej </w:t>
      </w:r>
      <w:r>
        <w:br/>
        <w:t xml:space="preserve">i prokuratorskiej, uprzejmie przedstawiam szczegółowy zakres tematyczny, który powinien być przedmiotem praktyk aplikantów aplikacji prokuratorskiej odbywanych w dniach </w:t>
      </w:r>
      <w:r>
        <w:rPr>
          <w:b/>
        </w:rPr>
        <w:t>od 22 kwietnia do 2 maja 202</w:t>
      </w:r>
      <w:r w:rsidR="00F67CB0">
        <w:rPr>
          <w:b/>
        </w:rPr>
        <w:t>5</w:t>
      </w:r>
      <w:r>
        <w:rPr>
          <w:b/>
        </w:rPr>
        <w:t xml:space="preserve"> roku w prokuraturach okręgowych lub regionalnych w wydziałach do spraw przestępczości gospodarczej (2 tygodnie) i od 5 do 16 maja 202</w:t>
      </w:r>
      <w:r w:rsidR="00F67CB0">
        <w:rPr>
          <w:b/>
        </w:rPr>
        <w:t>5</w:t>
      </w:r>
      <w:r>
        <w:rPr>
          <w:b/>
        </w:rPr>
        <w:t xml:space="preserve"> r. w prokuraturach rejonowych działach śledczych (2 tygodnie).</w:t>
      </w:r>
    </w:p>
    <w:p w14:paraId="1887D9FF" w14:textId="77777777" w:rsidR="006C248D" w:rsidRDefault="006C248D" w:rsidP="006C248D">
      <w:pPr>
        <w:spacing w:after="120" w:line="276" w:lineRule="auto"/>
        <w:ind w:firstLine="708"/>
        <w:jc w:val="both"/>
      </w:pPr>
      <w:r>
        <w:t>Celem praktyki jest udział aplikanta w czynnościach postępowania przygotowawczego podejmowanych w sprawach objętych tematyką zjazdu, w tym sporządzenie projektu postanowienia o blokadzie środków finansowych/wstrzymaniu transakcji.</w:t>
      </w:r>
    </w:p>
    <w:p w14:paraId="2EC2CBB4" w14:textId="77777777" w:rsidR="006C248D" w:rsidRDefault="006C248D" w:rsidP="006C248D">
      <w:pPr>
        <w:spacing w:after="120" w:line="276" w:lineRule="auto"/>
        <w:ind w:firstLine="708"/>
        <w:jc w:val="both"/>
        <w:rPr>
          <w:b/>
        </w:rPr>
      </w:pPr>
      <w:r>
        <w:rPr>
          <w:b/>
        </w:rPr>
        <w:t>Patroni praktyk w prokuraturach okręgowych lub regionalnych winni zadbać, aby aplikanci:</w:t>
      </w:r>
    </w:p>
    <w:p w14:paraId="020D777C" w14:textId="77777777" w:rsidR="006C248D" w:rsidRDefault="006C248D" w:rsidP="006C248D">
      <w:pPr>
        <w:spacing w:after="120" w:line="276" w:lineRule="auto"/>
        <w:jc w:val="both"/>
      </w:pPr>
      <w:r>
        <w:t>- zapoznali się z aktami co najmniej dwóch spraw gospodarczych, w których prokurator wydał postanowienia o blokadzie środków na rachunku bankowym oraz o wstrzymaniu określonej transakcji /art.  106a ust. 3a, ust. 6 i ust. 7a Prawa bankowego/,</w:t>
      </w:r>
    </w:p>
    <w:p w14:paraId="59AD8146" w14:textId="77777777" w:rsidR="006C248D" w:rsidRDefault="006C248D" w:rsidP="006C248D">
      <w:pPr>
        <w:spacing w:after="120" w:line="276" w:lineRule="auto"/>
        <w:jc w:val="both"/>
        <w:rPr>
          <w:b/>
        </w:rPr>
      </w:pPr>
      <w:r>
        <w:rPr>
          <w:b/>
        </w:rPr>
        <w:t>oraz sporządzili projekty:</w:t>
      </w:r>
    </w:p>
    <w:p w14:paraId="7045413B" w14:textId="77777777" w:rsidR="006C248D" w:rsidRDefault="006C248D" w:rsidP="006C248D">
      <w:pPr>
        <w:spacing w:after="120" w:line="276" w:lineRule="auto"/>
        <w:jc w:val="both"/>
      </w:pPr>
      <w:r>
        <w:t>- co najmniej 2 postanowień o blokadzie środków na rachunku bankowym</w:t>
      </w:r>
    </w:p>
    <w:p w14:paraId="2BE46D5F" w14:textId="77777777" w:rsidR="006C248D" w:rsidRDefault="006C248D" w:rsidP="006C248D">
      <w:pPr>
        <w:spacing w:after="120" w:line="276" w:lineRule="auto"/>
        <w:jc w:val="both"/>
      </w:pPr>
      <w:r>
        <w:t>- co najmniej 2 postanowień o wstrzymaniu określonej transakcji /art.  106a ust. 3a, ust. 6 i ust. 7a Prawa bankowego/.</w:t>
      </w:r>
    </w:p>
    <w:p w14:paraId="75448F94" w14:textId="77777777" w:rsidR="006C248D" w:rsidRDefault="006C248D" w:rsidP="006C248D">
      <w:pPr>
        <w:spacing w:after="120" w:line="276" w:lineRule="auto"/>
        <w:ind w:firstLine="708"/>
        <w:jc w:val="both"/>
        <w:rPr>
          <w:b/>
        </w:rPr>
      </w:pPr>
      <w:r>
        <w:rPr>
          <w:b/>
        </w:rPr>
        <w:t>Patroni praktyk w prokuraturach rejonowych winni zadbać, aby aplikanci:</w:t>
      </w:r>
    </w:p>
    <w:p w14:paraId="62451833" w14:textId="77777777" w:rsidR="006C248D" w:rsidRDefault="006C248D" w:rsidP="006C248D">
      <w:pPr>
        <w:spacing w:before="360" w:line="276" w:lineRule="auto"/>
        <w:jc w:val="both"/>
      </w:pPr>
      <w:r>
        <w:rPr>
          <w:b/>
        </w:rPr>
        <w:t xml:space="preserve">- </w:t>
      </w:r>
      <w:r>
        <w:t>zapoznali się z aktami co najmniej 2 spraw gospodarczych objętych tematyką zjazdu (zasady odpowiedzialności cywilnej i karnej w spółkach prawa handlowego; prawo bankowe, wekslowe i czekowe; zwalczanie nieuczciwej konkurencji i nieuczciwych praktyk rynkowych; prawo własności przemysłowej lub prawo autorskie i prawa pokrewne),</w:t>
      </w:r>
    </w:p>
    <w:p w14:paraId="0FBE4B0D" w14:textId="77777777" w:rsidR="006C248D" w:rsidRDefault="006C248D" w:rsidP="006C248D">
      <w:pPr>
        <w:spacing w:after="120" w:line="276" w:lineRule="auto"/>
        <w:jc w:val="both"/>
      </w:pPr>
      <w:r>
        <w:lastRenderedPageBreak/>
        <w:t>- zapoznali się z aktami co najmniej 2 spraw gospodarczych, w których prokurator wydał postanowienia o blokadzie środków na rachunku bankowym oraz o wstrzymaniu określonej transakcji /art.  106a ust. 3a, ust. 6 i ust. 7a Prawa bankowego/,</w:t>
      </w:r>
    </w:p>
    <w:p w14:paraId="1251E221" w14:textId="77777777" w:rsidR="006C248D" w:rsidRDefault="006C248D" w:rsidP="006C248D">
      <w:pPr>
        <w:spacing w:line="276" w:lineRule="auto"/>
        <w:jc w:val="both"/>
      </w:pPr>
      <w:r>
        <w:t>- wzięli udział w co najmniej 3 czynnościach przesłuchania świadków lub podejrzanych w sprawach gospodarczych objętych tematyką zjazdu,</w:t>
      </w:r>
    </w:p>
    <w:p w14:paraId="6A5CCC80" w14:textId="77777777" w:rsidR="006C248D" w:rsidRDefault="006C248D" w:rsidP="006C248D">
      <w:pPr>
        <w:spacing w:after="120" w:line="276" w:lineRule="auto"/>
        <w:jc w:val="both"/>
        <w:rPr>
          <w:b/>
        </w:rPr>
      </w:pPr>
      <w:r>
        <w:rPr>
          <w:b/>
        </w:rPr>
        <w:t>oraz sporządzili projekty:</w:t>
      </w:r>
    </w:p>
    <w:p w14:paraId="051E3367" w14:textId="77777777" w:rsidR="006C248D" w:rsidRDefault="006C248D" w:rsidP="006C248D">
      <w:pPr>
        <w:spacing w:after="120" w:line="276" w:lineRule="auto"/>
        <w:jc w:val="both"/>
      </w:pPr>
      <w:r>
        <w:t>- co najmniej 3 postanowień o blokadzie środków na rachunku bankowym</w:t>
      </w:r>
    </w:p>
    <w:p w14:paraId="72A6B548" w14:textId="77777777" w:rsidR="006C248D" w:rsidRDefault="006C248D" w:rsidP="006C248D">
      <w:pPr>
        <w:spacing w:after="120" w:line="276" w:lineRule="auto"/>
        <w:jc w:val="both"/>
      </w:pPr>
      <w:r>
        <w:t>- co najmniej 3 postanowień o wstrzymaniu określonej transakcji /art.  106a ust. 3a, ust. 6 i ust. 7a Prawa bankowego/.</w:t>
      </w:r>
    </w:p>
    <w:p w14:paraId="00857436" w14:textId="77777777" w:rsidR="006C248D" w:rsidRDefault="006C248D" w:rsidP="006C248D">
      <w:pPr>
        <w:spacing w:after="120" w:line="276" w:lineRule="auto"/>
        <w:ind w:firstLine="708"/>
        <w:jc w:val="both"/>
      </w:pPr>
      <w:r>
        <w:t xml:space="preserve">Niezależnie od wyżej wymienionych czynności aplikanci powinni, w miarę możliwości, dodatkowo brać udział w czynnościach oględzin miejsc zdarzenia, miejsc ujawnienia zwłok </w:t>
      </w:r>
      <w:r>
        <w:br/>
        <w:t xml:space="preserve">i oględzin zwłok w miejscu ich ujawnienia oraz uczestniczyć w rozprawach </w:t>
      </w:r>
      <w:r>
        <w:br/>
        <w:t>i posiedzeniach sądu (również w charakterze oskarżyciela publicznego).</w:t>
      </w:r>
    </w:p>
    <w:p w14:paraId="1AC7E235" w14:textId="77777777" w:rsidR="006C248D" w:rsidRDefault="006C248D" w:rsidP="006C248D">
      <w:pPr>
        <w:spacing w:after="120" w:line="276" w:lineRule="auto"/>
        <w:ind w:firstLine="708"/>
        <w:jc w:val="both"/>
        <w:rPr>
          <w:b/>
        </w:rPr>
      </w:pPr>
      <w:r>
        <w:rPr>
          <w:b/>
        </w:rPr>
        <w:t>Praktyka powinna przygotować do sprawdzianu.</w:t>
      </w:r>
    </w:p>
    <w:p w14:paraId="013DD3A4" w14:textId="415633AD" w:rsidR="006C248D" w:rsidRDefault="006C248D" w:rsidP="006C248D">
      <w:pPr>
        <w:spacing w:line="276" w:lineRule="auto"/>
        <w:ind w:firstLine="708"/>
        <w:jc w:val="both"/>
        <w:rPr>
          <w:b/>
        </w:rPr>
      </w:pPr>
      <w:r>
        <w:t>Przedmiotem sprawdzianu, który aplikanci będą pisać po odbyciu praktyk po 26. zjeździe, tj. w dniu 19 maja 2025 r., będzie sporządzenie projektu postanowienia o blokadzie środków finansowych/wstrzymaniu transakcji.</w:t>
      </w:r>
    </w:p>
    <w:p w14:paraId="3BECE507" w14:textId="77777777" w:rsidR="006C248D" w:rsidRDefault="006C248D" w:rsidP="006C248D">
      <w:pPr>
        <w:spacing w:after="120" w:line="276" w:lineRule="auto"/>
        <w:ind w:firstLine="708"/>
        <w:jc w:val="both"/>
      </w:pPr>
      <w:r>
        <w:t xml:space="preserve">Dlatego ważnym jest, aby aplikanci podczas praktyk opanowali tę umiejętność w jak najwyższym stopniu.     </w:t>
      </w:r>
    </w:p>
    <w:p w14:paraId="0A1B0059" w14:textId="77777777" w:rsidR="006C248D" w:rsidRDefault="006C248D" w:rsidP="006C248D">
      <w:pPr>
        <w:spacing w:after="120" w:line="276" w:lineRule="auto"/>
        <w:ind w:firstLine="708"/>
        <w:jc w:val="both"/>
        <w:rPr>
          <w:b/>
        </w:rPr>
      </w:pPr>
    </w:p>
    <w:p w14:paraId="48E8FF8B" w14:textId="77777777" w:rsidR="006C248D" w:rsidRDefault="006C248D" w:rsidP="006C248D">
      <w:pPr>
        <w:spacing w:after="120" w:line="276" w:lineRule="auto"/>
        <w:ind w:firstLine="708"/>
        <w:jc w:val="both"/>
        <w:rPr>
          <w:b/>
        </w:rPr>
      </w:pPr>
    </w:p>
    <w:p w14:paraId="2DA04D97" w14:textId="77777777" w:rsidR="006C248D" w:rsidRDefault="006C248D" w:rsidP="006C248D">
      <w:pPr>
        <w:jc w:val="both"/>
      </w:pPr>
      <w:r>
        <w:t xml:space="preserve">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Kierownik</w:t>
      </w:r>
    </w:p>
    <w:p w14:paraId="79CD6861" w14:textId="77777777" w:rsidR="006C248D" w:rsidRDefault="006C248D" w:rsidP="006C248D">
      <w:pPr>
        <w:jc w:val="both"/>
      </w:pPr>
      <w:r>
        <w:t xml:space="preserve">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Działu Dydaktycznego</w:t>
      </w:r>
    </w:p>
    <w:p w14:paraId="582A38DD" w14:textId="77777777" w:rsidR="006C248D" w:rsidRDefault="006C248D" w:rsidP="006C248D">
      <w:pPr>
        <w:ind w:left="4248" w:firstLine="708"/>
        <w:jc w:val="both"/>
      </w:pPr>
      <w:r>
        <w:t xml:space="preserve">     w Ośrodku Aplikacji Prokuratorskiej</w:t>
      </w:r>
    </w:p>
    <w:p w14:paraId="66D45837" w14:textId="77777777" w:rsidR="006C248D" w:rsidRDefault="006C248D" w:rsidP="006C248D">
      <w:pPr>
        <w:jc w:val="both"/>
      </w:pPr>
    </w:p>
    <w:p w14:paraId="7B491F54" w14:textId="7C5A117E" w:rsidR="006C248D" w:rsidRDefault="00EE4F5A" w:rsidP="00EE4F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Mariusz Kowal</w:t>
      </w:r>
    </w:p>
    <w:p w14:paraId="275C4504" w14:textId="1D04178B" w:rsidR="0099679B" w:rsidRDefault="006C248D" w:rsidP="006C248D">
      <w:r>
        <w:t xml:space="preserve">   </w:t>
      </w:r>
      <w:r w:rsidR="00EE4F5A">
        <w:tab/>
      </w:r>
      <w:r w:rsidR="00EE4F5A">
        <w:tab/>
      </w:r>
      <w:r w:rsidR="00EE4F5A">
        <w:tab/>
      </w:r>
      <w:r w:rsidR="00EE4F5A">
        <w:tab/>
      </w:r>
      <w:r w:rsidR="00EE4F5A">
        <w:tab/>
      </w:r>
      <w:r w:rsidR="00EE4F5A">
        <w:tab/>
      </w:r>
      <w:r w:rsidR="00EE4F5A">
        <w:tab/>
      </w:r>
      <w:r w:rsidR="00EE4F5A">
        <w:tab/>
      </w:r>
      <w:r w:rsidR="00EE4F5A">
        <w:tab/>
        <w:t xml:space="preserve">   </w:t>
      </w:r>
      <w:r w:rsidR="00700214">
        <w:t>P</w:t>
      </w:r>
      <w:r>
        <w:t>rokurator</w:t>
      </w:r>
    </w:p>
    <w:p w14:paraId="4DC9D54F" w14:textId="683E4033" w:rsidR="00700214" w:rsidRDefault="00700214" w:rsidP="006C248D"/>
    <w:p w14:paraId="3731DFB6" w14:textId="19DF6744" w:rsidR="00700214" w:rsidRDefault="00700214" w:rsidP="006C248D"/>
    <w:p w14:paraId="2A896E0D" w14:textId="77777777" w:rsidR="000003DE" w:rsidRDefault="000003DE" w:rsidP="006C248D"/>
    <w:p w14:paraId="660E6277" w14:textId="483CDDF2" w:rsidR="00700214" w:rsidRPr="000003DE" w:rsidRDefault="00700214" w:rsidP="006C248D">
      <w:pPr>
        <w:rPr>
          <w:rFonts w:ascii="Arial" w:hAnsi="Arial" w:cs="Arial"/>
          <w:u w:val="single"/>
        </w:rPr>
      </w:pPr>
      <w:r w:rsidRPr="000003DE">
        <w:rPr>
          <w:rFonts w:ascii="Arial" w:hAnsi="Arial" w:cs="Arial"/>
          <w:u w:val="single"/>
        </w:rPr>
        <w:t xml:space="preserve">Załącznika do zaleceń do praktyk – wyciąg z programu aplikacji prokuratorskiej </w:t>
      </w:r>
    </w:p>
    <w:p w14:paraId="510542FE" w14:textId="77777777" w:rsidR="00700214" w:rsidRPr="000003DE" w:rsidRDefault="00700214" w:rsidP="00700214">
      <w:pPr>
        <w:keepNext/>
        <w:spacing w:before="480" w:after="360"/>
        <w:jc w:val="both"/>
        <w:outlineLvl w:val="1"/>
        <w:rPr>
          <w:rFonts w:ascii="Arial" w:hAnsi="Arial" w:cs="Arial"/>
          <w:b/>
          <w:bCs/>
          <w:iCs/>
          <w:szCs w:val="28"/>
        </w:rPr>
      </w:pPr>
      <w:r w:rsidRPr="000003DE">
        <w:rPr>
          <w:rFonts w:ascii="Arial" w:hAnsi="Arial" w:cs="Arial"/>
          <w:b/>
          <w:bCs/>
          <w:iCs/>
          <w:szCs w:val="28"/>
        </w:rPr>
        <w:t>Prawo gospodarcze</w:t>
      </w:r>
    </w:p>
    <w:p w14:paraId="63879751" w14:textId="56B511E3" w:rsidR="00700214" w:rsidRDefault="00700214" w:rsidP="000003DE">
      <w:pPr>
        <w:jc w:val="both"/>
        <w:rPr>
          <w:rFonts w:ascii="Arial" w:eastAsia="Calibri" w:hAnsi="Arial" w:cs="Arial"/>
        </w:rPr>
      </w:pPr>
      <w:r w:rsidRPr="000003DE">
        <w:rPr>
          <w:rFonts w:ascii="Arial" w:eastAsia="Calibri" w:hAnsi="Arial" w:cs="Arial"/>
        </w:rPr>
        <w:t>Zasady odpowiedzialności cywilnej i karnej w spółkach prawa handlowego.</w:t>
      </w:r>
    </w:p>
    <w:p w14:paraId="7B7C1484" w14:textId="77777777" w:rsidR="00D254ED" w:rsidRPr="000003DE" w:rsidRDefault="00D254ED" w:rsidP="000003DE">
      <w:pPr>
        <w:jc w:val="both"/>
        <w:rPr>
          <w:rFonts w:ascii="Arial" w:eastAsia="Calibri" w:hAnsi="Arial" w:cs="Arial"/>
        </w:rPr>
      </w:pPr>
    </w:p>
    <w:p w14:paraId="63C4EB98" w14:textId="77777777" w:rsidR="00700214" w:rsidRPr="000003DE" w:rsidRDefault="00700214" w:rsidP="00D254ED">
      <w:pPr>
        <w:ind w:firstLine="708"/>
        <w:jc w:val="both"/>
        <w:rPr>
          <w:rFonts w:ascii="Arial" w:eastAsia="Calibri" w:hAnsi="Arial" w:cs="Arial"/>
          <w:u w:val="single"/>
        </w:rPr>
      </w:pPr>
      <w:r w:rsidRPr="000003DE">
        <w:rPr>
          <w:rFonts w:ascii="Arial" w:eastAsia="Calibri" w:hAnsi="Arial" w:cs="Arial"/>
          <w:u w:val="single"/>
        </w:rPr>
        <w:t>Prawo bankowe, wekslowe i czekowe.</w:t>
      </w:r>
    </w:p>
    <w:p w14:paraId="148F1903" w14:textId="77777777" w:rsidR="00700214" w:rsidRPr="000003DE" w:rsidRDefault="00700214" w:rsidP="000003DE">
      <w:pPr>
        <w:jc w:val="both"/>
        <w:rPr>
          <w:rFonts w:ascii="Arial" w:eastAsia="Calibri" w:hAnsi="Arial" w:cs="Arial"/>
        </w:rPr>
      </w:pPr>
      <w:r w:rsidRPr="000003DE">
        <w:rPr>
          <w:rFonts w:ascii="Arial" w:eastAsia="Calibri" w:hAnsi="Arial" w:cs="Arial"/>
        </w:rPr>
        <w:t>Rodzaje czynności bankowych, pojęcie i zakres oraz tryby zwalniania z tajemnicy bankowej, blokada środków zgromadzonych na rachunku bankowym, wstrzymanie transakcji, upadek blokady i zwolnienie środków pieniężnych, przepisy karne.</w:t>
      </w:r>
      <w:r w:rsidRPr="000003DE">
        <w:rPr>
          <w:rFonts w:ascii="Arial" w:eastAsia="Calibri" w:hAnsi="Arial" w:cs="Arial"/>
          <w:b/>
        </w:rPr>
        <w:t xml:space="preserve"> </w:t>
      </w:r>
    </w:p>
    <w:p w14:paraId="50BF460E" w14:textId="77777777" w:rsidR="00700214" w:rsidRPr="000003DE" w:rsidRDefault="00700214" w:rsidP="000003DE">
      <w:pPr>
        <w:jc w:val="both"/>
        <w:rPr>
          <w:rFonts w:ascii="Arial" w:eastAsia="Calibri" w:hAnsi="Arial" w:cs="Arial"/>
        </w:rPr>
      </w:pPr>
      <w:r w:rsidRPr="000003DE">
        <w:rPr>
          <w:rFonts w:ascii="Arial" w:eastAsia="Calibri" w:hAnsi="Arial" w:cs="Arial"/>
        </w:rPr>
        <w:t xml:space="preserve">Rodzaje weksli, uczestnicy zobowiązania wekslowego, zasady odpowiedzialności wekslowej. </w:t>
      </w:r>
    </w:p>
    <w:p w14:paraId="4F98E3BE" w14:textId="77777777" w:rsidR="00D254ED" w:rsidRDefault="00700214" w:rsidP="000003DE">
      <w:pPr>
        <w:jc w:val="both"/>
        <w:rPr>
          <w:rFonts w:ascii="Arial" w:eastAsia="Calibri" w:hAnsi="Arial" w:cs="Arial"/>
        </w:rPr>
      </w:pPr>
      <w:r w:rsidRPr="000003DE">
        <w:rPr>
          <w:rFonts w:ascii="Arial" w:eastAsia="Calibri" w:hAnsi="Arial" w:cs="Arial"/>
        </w:rPr>
        <w:lastRenderedPageBreak/>
        <w:t>Rodzaje czeków, zastosowanie czeków w obrocie gospodarczym, przepisy karne.</w:t>
      </w:r>
    </w:p>
    <w:p w14:paraId="3C93D61C" w14:textId="622C1119" w:rsidR="00700214" w:rsidRPr="000003DE" w:rsidRDefault="00700214" w:rsidP="000003DE">
      <w:pPr>
        <w:jc w:val="both"/>
        <w:rPr>
          <w:rFonts w:ascii="Arial" w:eastAsia="Calibri" w:hAnsi="Arial" w:cs="Arial"/>
        </w:rPr>
      </w:pPr>
      <w:r w:rsidRPr="000003DE">
        <w:rPr>
          <w:rFonts w:ascii="Arial" w:eastAsia="Calibri" w:hAnsi="Arial" w:cs="Arial"/>
        </w:rPr>
        <w:t xml:space="preserve"> </w:t>
      </w:r>
    </w:p>
    <w:p w14:paraId="0E89B8C8" w14:textId="77777777" w:rsidR="00700214" w:rsidRPr="000003DE" w:rsidRDefault="00700214" w:rsidP="00D254ED">
      <w:pPr>
        <w:ind w:firstLine="708"/>
        <w:jc w:val="both"/>
        <w:rPr>
          <w:rFonts w:ascii="Arial" w:eastAsia="Calibri" w:hAnsi="Arial" w:cs="Arial"/>
          <w:u w:val="single"/>
        </w:rPr>
      </w:pPr>
      <w:r w:rsidRPr="000003DE">
        <w:rPr>
          <w:rFonts w:ascii="Arial" w:eastAsia="Calibri" w:hAnsi="Arial" w:cs="Arial"/>
          <w:u w:val="single"/>
        </w:rPr>
        <w:t>Zwalczanie nieuczciwej konkurencji i nieuczciwych praktyk rynkowych.</w:t>
      </w:r>
    </w:p>
    <w:p w14:paraId="5894F960" w14:textId="3765CCEF" w:rsidR="00700214" w:rsidRDefault="00700214" w:rsidP="000003DE">
      <w:pPr>
        <w:jc w:val="both"/>
        <w:rPr>
          <w:rFonts w:ascii="Arial" w:eastAsia="Calibri" w:hAnsi="Arial" w:cs="Arial"/>
        </w:rPr>
      </w:pPr>
      <w:r w:rsidRPr="000003DE">
        <w:rPr>
          <w:rFonts w:ascii="Arial" w:eastAsia="Calibri" w:hAnsi="Arial" w:cs="Arial"/>
        </w:rPr>
        <w:t>Czyny nieuczciwej konkurencji, przesłanki odpowiedzialności cywilnej, przepisy karne (ujawnienie i wykorzystanie tajemnicy przedsiębiorstwa, kopiowanie zewnętrznej postaci produktu, organizowanie i kierowanie sprzedażą lawinową, stosowanie agresywnych praktyk rynkowych, zarządzanie mieniem w systemie konsorcyjnym). Ochrona konkurencji i konsumentów. Zakaz praktyk ograniczających konkurencję. Postępowanie przed Prezesem Urzędu Ochrony Konkurencji i Konsumentów.</w:t>
      </w:r>
    </w:p>
    <w:p w14:paraId="5773CFA7" w14:textId="77777777" w:rsidR="00D254ED" w:rsidRPr="000003DE" w:rsidRDefault="00D254ED" w:rsidP="000003DE">
      <w:pPr>
        <w:jc w:val="both"/>
        <w:rPr>
          <w:rFonts w:ascii="Arial" w:eastAsia="Calibri" w:hAnsi="Arial" w:cs="Arial"/>
        </w:rPr>
      </w:pPr>
    </w:p>
    <w:p w14:paraId="08701161" w14:textId="24EDF9CD" w:rsidR="00700214" w:rsidRPr="000003DE" w:rsidRDefault="00700214" w:rsidP="00D254ED">
      <w:pPr>
        <w:ind w:firstLine="708"/>
        <w:jc w:val="both"/>
        <w:rPr>
          <w:rFonts w:ascii="Arial" w:eastAsia="Calibri" w:hAnsi="Arial" w:cs="Arial"/>
        </w:rPr>
      </w:pPr>
      <w:r w:rsidRPr="000003DE">
        <w:rPr>
          <w:rFonts w:ascii="Arial" w:eastAsia="Calibri" w:hAnsi="Arial" w:cs="Arial"/>
          <w:u w:val="single"/>
        </w:rPr>
        <w:t>Prawo własności przemysłowej.</w:t>
      </w:r>
    </w:p>
    <w:p w14:paraId="6943C736" w14:textId="10F229EA" w:rsidR="00700214" w:rsidRDefault="00700214" w:rsidP="000003DE">
      <w:pPr>
        <w:jc w:val="both"/>
        <w:rPr>
          <w:rFonts w:ascii="Arial" w:eastAsia="Calibri" w:hAnsi="Arial" w:cs="Arial"/>
        </w:rPr>
      </w:pPr>
      <w:r w:rsidRPr="000003DE">
        <w:rPr>
          <w:rFonts w:ascii="Arial" w:eastAsia="Calibri" w:hAnsi="Arial" w:cs="Arial"/>
        </w:rPr>
        <w:t xml:space="preserve">Ochrona wynalazków, wzorów użytkowych, wzorów przemysłowych, oznaczeń geograficznych i znaków towarowych, przepisy karne. </w:t>
      </w:r>
    </w:p>
    <w:p w14:paraId="353EAD3B" w14:textId="77777777" w:rsidR="00D254ED" w:rsidRPr="000003DE" w:rsidRDefault="00D254ED" w:rsidP="000003DE">
      <w:pPr>
        <w:jc w:val="both"/>
        <w:rPr>
          <w:rFonts w:ascii="Arial" w:eastAsia="Calibri" w:hAnsi="Arial" w:cs="Arial"/>
        </w:rPr>
      </w:pPr>
    </w:p>
    <w:p w14:paraId="44F44A90" w14:textId="0A07D35A" w:rsidR="00700214" w:rsidRPr="000003DE" w:rsidRDefault="00700214" w:rsidP="00D254ED">
      <w:pPr>
        <w:ind w:firstLine="708"/>
        <w:jc w:val="both"/>
        <w:rPr>
          <w:rFonts w:ascii="Arial" w:eastAsia="Calibri" w:hAnsi="Arial" w:cs="Arial"/>
        </w:rPr>
      </w:pPr>
      <w:r w:rsidRPr="000003DE">
        <w:rPr>
          <w:rFonts w:ascii="Arial" w:eastAsia="Calibri" w:hAnsi="Arial" w:cs="Arial"/>
          <w:u w:val="single"/>
        </w:rPr>
        <w:t>Prawo autorskie i prawa pokrewne.</w:t>
      </w:r>
    </w:p>
    <w:p w14:paraId="621B6BD9" w14:textId="6ADD3FF7" w:rsidR="00700214" w:rsidRDefault="00700214" w:rsidP="000003DE">
      <w:pPr>
        <w:jc w:val="both"/>
      </w:pPr>
      <w:r w:rsidRPr="000003DE">
        <w:rPr>
          <w:rFonts w:ascii="Arial" w:eastAsia="Calibri" w:hAnsi="Arial" w:cs="Arial"/>
        </w:rPr>
        <w:t>Treść prawa autorskiego, uprawnienia osobiste i majątkowe twórcy, pojęcie i rodzaje praw pokrewnych, licencje ustawowe i umowne, system ochrony praw autorskich i pokrewnych, organizacje zbiorowego zarządzania prawami autorskimi, przepisy karne. Ochrona usług świadczonych drogą elektroniczną. Ochrona usług opartych i polegających na dostępie warunkowym.</w:t>
      </w:r>
    </w:p>
    <w:p w14:paraId="60937DAD" w14:textId="77777777" w:rsidR="00700214" w:rsidRDefault="00700214" w:rsidP="006C248D"/>
    <w:sectPr w:rsidR="00700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81"/>
    <w:rsid w:val="000003DE"/>
    <w:rsid w:val="002209F7"/>
    <w:rsid w:val="00521727"/>
    <w:rsid w:val="006C248D"/>
    <w:rsid w:val="00700214"/>
    <w:rsid w:val="0099679B"/>
    <w:rsid w:val="00A57C01"/>
    <w:rsid w:val="00D00B5F"/>
    <w:rsid w:val="00D06A81"/>
    <w:rsid w:val="00D254ED"/>
    <w:rsid w:val="00EE4F5A"/>
    <w:rsid w:val="00F6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A233"/>
  <w15:chartTrackingRefBased/>
  <w15:docId w15:val="{2F9CE8D5-5C63-445F-BECA-99DAD661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A58B-37E4-40D1-9C2C-4D312A20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Skrupska-Jastrząb</dc:creator>
  <cp:keywords/>
  <dc:description/>
  <cp:lastModifiedBy>Katarzyna Mróz</cp:lastModifiedBy>
  <cp:revision>2</cp:revision>
  <dcterms:created xsi:type="dcterms:W3CDTF">2025-02-25T09:28:00Z</dcterms:created>
  <dcterms:modified xsi:type="dcterms:W3CDTF">2025-02-25T09:28:00Z</dcterms:modified>
</cp:coreProperties>
</file>