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24" w:rsidRDefault="00660FFD" w:rsidP="00077D8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</w:t>
      </w:r>
      <w:r w:rsidR="00305A26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A4A67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  <w:t xml:space="preserve">             Kraków, dnia</w:t>
      </w:r>
      <w:r w:rsidR="00BA3AB1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AEA">
        <w:rPr>
          <w:rFonts w:ascii="Times New Roman" w:eastAsia="Calibri" w:hAnsi="Times New Roman" w:cs="Times New Roman"/>
          <w:sz w:val="24"/>
          <w:szCs w:val="24"/>
        </w:rPr>
        <w:t>1</w:t>
      </w:r>
      <w:r w:rsidR="00D85949">
        <w:rPr>
          <w:rFonts w:ascii="Times New Roman" w:eastAsia="Calibri" w:hAnsi="Times New Roman" w:cs="Times New Roman"/>
          <w:sz w:val="24"/>
          <w:szCs w:val="24"/>
        </w:rPr>
        <w:t>0</w:t>
      </w:r>
      <w:r w:rsidR="00BA3AB1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4A67" w:rsidRPr="00077D8D">
        <w:rPr>
          <w:rFonts w:ascii="Times New Roman" w:eastAsia="Calibri" w:hAnsi="Times New Roman" w:cs="Times New Roman"/>
          <w:sz w:val="24"/>
          <w:szCs w:val="24"/>
        </w:rPr>
        <w:t xml:space="preserve">grudnia </w:t>
      </w:r>
      <w:r w:rsidRPr="00077D8D">
        <w:rPr>
          <w:rFonts w:ascii="Times New Roman" w:eastAsia="Calibri" w:hAnsi="Times New Roman" w:cs="Times New Roman"/>
          <w:sz w:val="24"/>
          <w:szCs w:val="24"/>
        </w:rPr>
        <w:t>2018 r.</w:t>
      </w:r>
    </w:p>
    <w:p w:rsidR="00AA1060" w:rsidRPr="00077D8D" w:rsidRDefault="00AA1060" w:rsidP="00077D8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660FFD" w:rsidRDefault="00660FFD" w:rsidP="00077D8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AA1060" w:rsidRPr="00077D8D" w:rsidRDefault="00AA1060" w:rsidP="00077D8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FFD" w:rsidRPr="00077D8D" w:rsidRDefault="00660FFD" w:rsidP="00077D8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praktyk </w:t>
      </w:r>
      <w:r w:rsidR="00BA3AB1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8.</w:t>
      </w: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 aplikacji prokuratorskiej po </w:t>
      </w:r>
      <w:r w:rsidR="00305A26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="004B6836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111B0F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</w:t>
      </w: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jeździe</w:t>
      </w:r>
    </w:p>
    <w:p w:rsidR="00AD0D24" w:rsidRPr="00077D8D" w:rsidRDefault="00AD0D24" w:rsidP="00077D8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60FFD" w:rsidRPr="00077D8D" w:rsidRDefault="00660FFD" w:rsidP="00077D8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256F" w:rsidRPr="00077D8D" w:rsidRDefault="00660FF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077D8D">
        <w:rPr>
          <w:rFonts w:ascii="Times New Roman" w:eastAsia="Calibri" w:hAnsi="Times New Roman" w:cs="Times New Roman"/>
          <w:sz w:val="24"/>
          <w:szCs w:val="24"/>
        </w:rPr>
        <w:br/>
        <w:t>w Krakowie Nr 131/2010 z dnia 19 listopada 2010 roku w sprawie szczegółowych zasad odbywania praktyki przez aplikantów aplikacji sędziowskiej, prokuratorskiej oraz ogólnej (tekst ujednolicony), uprzejmie przedstawiam szczegółowy zakres tematyczny,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który 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>po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winien być przedmiotem praktyk aplikantów aplikacji prokuratorskiej 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odbywanych od 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18 </w:t>
      </w:r>
      <w:r w:rsidR="005A3E2F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29 marca </w:t>
      </w:r>
      <w:r w:rsidR="00111B0F" w:rsidRPr="00077D8D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4B06E6" w:rsidRPr="00077D8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11B0F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>sądach rejonowych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 w wydziałach karnych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 oraz od 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>1 d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 5 kwietnia 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>2019 roku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t>prokuraturach rejonowych.</w:t>
      </w:r>
    </w:p>
    <w:p w:rsidR="00735F0A" w:rsidRPr="00077D8D" w:rsidRDefault="00733647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Zasadniczym celem praktyki jest zapoznanie aplikantów z zasadami sądowej kontroli rozstrzygnięć prokuratora kończących postępowanie przygotowawcze oraz utrwalenie umiejętności przygotowywania wystąpienia prokuratora na posiedzenie sądu w przedmiocie zażalenia na postanowienie prokuratora kończące postępowanie przygotowawcze</w:t>
      </w:r>
      <w:r w:rsidR="00D85949">
        <w:rPr>
          <w:rFonts w:ascii="Times New Roman" w:eastAsia="Calibri" w:hAnsi="Times New Roman" w:cs="Times New Roman"/>
          <w:sz w:val="24"/>
          <w:szCs w:val="24"/>
        </w:rPr>
        <w:t>. Nadto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ałożeniem praktyki jest zaznajomienie aplikantów z czynnościami i metodyką pracy patronów praktyk</w:t>
      </w:r>
      <w:r w:rsidR="00F75086" w:rsidRPr="00077D8D">
        <w:rPr>
          <w:rFonts w:ascii="Times New Roman" w:eastAsia="Calibri" w:hAnsi="Times New Roman" w:cs="Times New Roman"/>
          <w:sz w:val="24"/>
          <w:szCs w:val="24"/>
        </w:rPr>
        <w:t xml:space="preserve"> oraz doskonalenie umiejętności 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wykorzystania wiedzy teoretycznej</w:t>
      </w:r>
      <w:r w:rsidR="00D8594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 xml:space="preserve"> znajomości orzecznictwa. Każdorazowo praktyka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winna utrwalić wiedzę zdobytą podczas bezpośrednio poprzedzających ją zajęć seminaryjnych w ramach zjazdu.</w:t>
      </w:r>
    </w:p>
    <w:p w:rsidR="00306294" w:rsidRDefault="00660FF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111B0F" w:rsidRPr="00077D8D">
        <w:rPr>
          <w:rFonts w:ascii="Times New Roman" w:eastAsia="Calibri" w:hAnsi="Times New Roman" w:cs="Times New Roman"/>
          <w:sz w:val="24"/>
          <w:szCs w:val="24"/>
        </w:rPr>
        <w:t>X</w:t>
      </w:r>
      <w:r w:rsidR="004B6836" w:rsidRPr="00077D8D">
        <w:rPr>
          <w:rFonts w:ascii="Times New Roman" w:eastAsia="Calibri" w:hAnsi="Times New Roman" w:cs="Times New Roman"/>
          <w:sz w:val="24"/>
          <w:szCs w:val="24"/>
        </w:rPr>
        <w:t>I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odbywającego się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w dniach od </w:t>
      </w:r>
      <w:r w:rsidR="004B6836" w:rsidRPr="00077D8D">
        <w:rPr>
          <w:rFonts w:ascii="Times New Roman" w:eastAsia="Calibri" w:hAnsi="Times New Roman" w:cs="Times New Roman"/>
          <w:sz w:val="24"/>
          <w:szCs w:val="24"/>
        </w:rPr>
        <w:t>11</w:t>
      </w:r>
      <w:r w:rsidR="00111B0F" w:rsidRPr="00077D8D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4B6836" w:rsidRPr="00077D8D">
        <w:rPr>
          <w:rFonts w:ascii="Times New Roman" w:eastAsia="Calibri" w:hAnsi="Times New Roman" w:cs="Times New Roman"/>
          <w:sz w:val="24"/>
          <w:szCs w:val="24"/>
        </w:rPr>
        <w:t>15 marca</w:t>
      </w:r>
      <w:r w:rsidR="004B06E6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201</w:t>
      </w:r>
      <w:r w:rsidR="004B06E6" w:rsidRPr="00077D8D">
        <w:rPr>
          <w:rFonts w:ascii="Times New Roman" w:eastAsia="Calibri" w:hAnsi="Times New Roman" w:cs="Times New Roman"/>
          <w:sz w:val="24"/>
          <w:szCs w:val="24"/>
        </w:rPr>
        <w:t>9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FA57EF" w:rsidRPr="00077D8D">
        <w:rPr>
          <w:rFonts w:ascii="Times New Roman" w:eastAsia="Calibri" w:hAnsi="Times New Roman" w:cs="Times New Roman"/>
          <w:sz w:val="24"/>
          <w:szCs w:val="24"/>
        </w:rPr>
        <w:t>jest</w:t>
      </w:r>
      <w:r w:rsidR="007336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43E9" w:rsidRPr="00077D8D" w:rsidRDefault="00306294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D94B60" w:rsidRPr="00077D8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rawo karne materialne</w:t>
      </w:r>
      <w:r w:rsidR="00D94B60" w:rsidRPr="00077D8D">
        <w:rPr>
          <w:rFonts w:ascii="Times New Roman" w:eastAsia="Calibri" w:hAnsi="Times New Roman" w:cs="Times New Roman"/>
          <w:sz w:val="24"/>
          <w:szCs w:val="24"/>
        </w:rPr>
        <w:t>,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 xml:space="preserve"> w tym</w:t>
      </w:r>
      <w:r w:rsidR="002B5BB6" w:rsidRPr="00077D8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C628F0">
        <w:rPr>
          <w:rFonts w:ascii="Times New Roman" w:eastAsia="Calibri" w:hAnsi="Times New Roman" w:cs="Times New Roman"/>
          <w:sz w:val="24"/>
          <w:szCs w:val="24"/>
        </w:rPr>
        <w:t>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rzestępstwa przeciwko prawom osób wykonujących pracę zarobkową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C628F0">
        <w:rPr>
          <w:rFonts w:ascii="Times New Roman" w:eastAsia="Calibri" w:hAnsi="Times New Roman" w:cs="Times New Roman"/>
          <w:sz w:val="24"/>
          <w:szCs w:val="24"/>
        </w:rPr>
        <w:t>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rzestępstwa przeciwko porządkowi publicznemu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C2D0B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</w:t>
      </w:r>
      <w:r w:rsidR="000C2D0B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rzestępstwa przeciwko rodzinie i opiece</w:t>
      </w:r>
      <w:r w:rsidR="009D48A8">
        <w:rPr>
          <w:rFonts w:ascii="Times New Roman" w:eastAsia="Calibri" w:hAnsi="Times New Roman" w:cs="Times New Roman"/>
          <w:sz w:val="24"/>
          <w:szCs w:val="24"/>
        </w:rPr>
        <w:t>, w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ybrane zagadnienia ustawy z dnia 29</w:t>
      </w:r>
    </w:p>
    <w:p w:rsidR="000C2D0B" w:rsidRPr="00077D8D" w:rsidRDefault="008B43E9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D0B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lipca 2005 r. o przeciwdziałaniu przemocy w rodzinie (t.j. Dz. U. z 2015 r.,</w:t>
      </w:r>
    </w:p>
    <w:p w:rsidR="000C2D0B" w:rsidRPr="00077D8D" w:rsidRDefault="008B43E9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D0B" w:rsidRPr="00077D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7D8D">
        <w:rPr>
          <w:rFonts w:ascii="Times New Roman" w:eastAsia="Calibri" w:hAnsi="Times New Roman" w:cs="Times New Roman"/>
          <w:sz w:val="24"/>
          <w:szCs w:val="24"/>
        </w:rPr>
        <w:t>poz.1390)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306294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26FEA" w:rsidRPr="00077D8D">
        <w:rPr>
          <w:rFonts w:ascii="Times New Roman" w:eastAsia="Calibri" w:hAnsi="Times New Roman" w:cs="Times New Roman"/>
          <w:sz w:val="24"/>
          <w:szCs w:val="24"/>
        </w:rPr>
        <w:t>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rawo karne procesowe</w:t>
      </w:r>
      <w:r w:rsidR="00C26FEA" w:rsidRPr="00077D8D">
        <w:rPr>
          <w:rFonts w:ascii="Times New Roman" w:eastAsia="Calibri" w:hAnsi="Times New Roman" w:cs="Times New Roman"/>
          <w:sz w:val="24"/>
          <w:szCs w:val="24"/>
        </w:rPr>
        <w:t>,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 xml:space="preserve"> w tym: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D0B" w:rsidRPr="00077D8D" w:rsidRDefault="000C2D0B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•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o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cena zasadności środka odwoławczego od postanowienia kończącego</w:t>
      </w:r>
    </w:p>
    <w:p w:rsidR="008B43E9" w:rsidRPr="00077D8D" w:rsidRDefault="000C2D0B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postępowanie przygotowawcze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C628F0">
        <w:rPr>
          <w:rFonts w:ascii="Times New Roman" w:eastAsia="Calibri" w:hAnsi="Times New Roman" w:cs="Times New Roman"/>
          <w:sz w:val="24"/>
          <w:szCs w:val="24"/>
        </w:rPr>
        <w:t>s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ądowa kontrola decyzji prokuratora kończących postępowanie przygotowawcze</w:t>
      </w:r>
      <w:r w:rsidR="009D48A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•</w:t>
      </w:r>
      <w:r w:rsidR="00C417AC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k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artoteki i zewnętrzne bazy danych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C2D0B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•</w:t>
      </w:r>
      <w:r w:rsidR="00C417AC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z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naczenie czynności operacyjno-rozpoznawczych dla procesu karnego, ich zakres</w:t>
      </w:r>
    </w:p>
    <w:p w:rsidR="000C2D0B" w:rsidRPr="00077D8D" w:rsidRDefault="00C628F0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oraz możliwości praktycznego wykorzystania w świetle praktyki orzeczniczej</w:t>
      </w:r>
    </w:p>
    <w:p w:rsidR="002B5BB6" w:rsidRPr="00077D8D" w:rsidRDefault="00C628F0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krajowej i międzynarodowej. </w:t>
      </w:r>
    </w:p>
    <w:p w:rsidR="002B5BB6" w:rsidRPr="00077D8D" w:rsidRDefault="002B5BB6" w:rsidP="00EE63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Aplikantom należy zatem umożliwić</w:t>
      </w:r>
      <w:r w:rsidR="00EE635D">
        <w:rPr>
          <w:rFonts w:ascii="Times New Roman" w:eastAsia="Calibri" w:hAnsi="Times New Roman" w:cs="Times New Roman"/>
          <w:sz w:val="24"/>
          <w:szCs w:val="24"/>
        </w:rPr>
        <w:t>,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w szczególności:</w:t>
      </w:r>
    </w:p>
    <w:p w:rsidR="002B5BB6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z</w:t>
      </w:r>
      <w:r w:rsidR="002B5BB6" w:rsidRPr="00077D8D">
        <w:rPr>
          <w:rFonts w:ascii="Times New Roman" w:eastAsia="Calibri" w:hAnsi="Times New Roman" w:cs="Times New Roman"/>
          <w:sz w:val="24"/>
          <w:szCs w:val="24"/>
        </w:rPr>
        <w:t xml:space="preserve">apoznanie się z zakresem i formami </w:t>
      </w:r>
      <w:r w:rsidRPr="00077D8D">
        <w:rPr>
          <w:rFonts w:ascii="Times New Roman" w:eastAsia="Calibri" w:hAnsi="Times New Roman" w:cs="Times New Roman"/>
          <w:sz w:val="24"/>
          <w:szCs w:val="24"/>
        </w:rPr>
        <w:t>ingerencji sądu w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analizę</w:t>
      </w:r>
      <w:r w:rsidR="00C62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różnorodnych akt spraw pod kątem oceny zasadności środka odwoławczego od postanowienia kończącego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przygotowanie projektów</w:t>
      </w:r>
      <w:r w:rsidR="00C62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wystąpień prokuratora obejmujących m.in. ustosunkowanie się do zarzutów i wniosków zażalenia na jego postanowienie kończące postępowanie przygotowawcze rozpoznawane na posiedzeniu sądu;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zapoznanie się z pracą przewodniczącego składu sędziowskiego w zakresie przygotowania posiedzeń w przedmiocie rozpoznania zażaleń na postanowienia prokuratora kończące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analizę różnorodnych akt spraw skierowanych do sądu w celu rozpoznania zażalenia na postanowienie prokuratora;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uczestnictwo</w:t>
      </w:r>
      <w:r w:rsidR="00771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w posiedzeniach w przedmiocie rozpoznania zażaleń na postanowienia prokuratora </w:t>
      </w:r>
      <w:r w:rsidR="00D131E1" w:rsidRPr="00077D8D">
        <w:rPr>
          <w:rFonts w:ascii="Times New Roman" w:eastAsia="Calibri" w:hAnsi="Times New Roman" w:cs="Times New Roman"/>
          <w:sz w:val="24"/>
          <w:szCs w:val="24"/>
        </w:rPr>
        <w:t>kończące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sporządzanie projektów orzeczeń sądu zapadających w związku z rozpoznaniem zażaleń na postanowienie prokuratora kończące postępowanie przygotowawcze</w:t>
      </w:r>
      <w:r w:rsidR="00D85949">
        <w:rPr>
          <w:rFonts w:ascii="Times New Roman" w:eastAsia="Calibri" w:hAnsi="Times New Roman" w:cs="Times New Roman"/>
          <w:sz w:val="24"/>
          <w:szCs w:val="24"/>
        </w:rPr>
        <w:t>,</w:t>
      </w:r>
      <w:r w:rsidR="00EE635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a następnie ich omówienie z sędzią przewodniczącym;</w:t>
      </w:r>
    </w:p>
    <w:p w:rsidR="00814B7D" w:rsidRPr="00296CD3" w:rsidRDefault="003C0125" w:rsidP="00296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CD3">
        <w:rPr>
          <w:rFonts w:ascii="Times New Roman" w:eastAsia="Calibri" w:hAnsi="Times New Roman" w:cs="Times New Roman"/>
          <w:sz w:val="24"/>
          <w:szCs w:val="24"/>
        </w:rPr>
        <w:t>analizę różnorodnych akt spraw pod kątem wykorzystania kartotek i zewnętrznych baz danych oraz czynności operacyjno-rozpoznawczych</w:t>
      </w:r>
      <w:r w:rsidR="00D131E1" w:rsidRPr="00296CD3">
        <w:rPr>
          <w:rFonts w:ascii="Times New Roman" w:eastAsia="Calibri" w:hAnsi="Times New Roman" w:cs="Times New Roman"/>
          <w:sz w:val="24"/>
          <w:szCs w:val="24"/>
        </w:rPr>
        <w:t xml:space="preserve"> dla potrzeb procesu karnego.</w:t>
      </w:r>
      <w:r w:rsidRPr="00296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2A0" w:rsidRPr="00077D8D" w:rsidRDefault="00AF32A0" w:rsidP="00077D8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FFD" w:rsidRPr="00077D8D" w:rsidRDefault="00660FFD" w:rsidP="007719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lastRenderedPageBreak/>
        <w:t>Powyższe nie wyklucza możliwości powierzania aplikantom również innych zadań wynikających z normalnego toku pracy prokuratorskiej,</w:t>
      </w:r>
      <w:r w:rsidR="006C22EE" w:rsidRPr="00077D8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zwłaszcza takich, z którymi </w:t>
      </w:r>
      <w:r w:rsidR="006C22EE" w:rsidRPr="00077D8D">
        <w:rPr>
          <w:rFonts w:ascii="Times New Roman" w:eastAsia="Calibri" w:hAnsi="Times New Roman" w:cs="Times New Roman"/>
          <w:sz w:val="24"/>
          <w:szCs w:val="24"/>
        </w:rPr>
        <w:t xml:space="preserve">aplikanci </w:t>
      </w:r>
      <w:r w:rsidRPr="00077D8D">
        <w:rPr>
          <w:rFonts w:ascii="Times New Roman" w:eastAsia="Calibri" w:hAnsi="Times New Roman" w:cs="Times New Roman"/>
          <w:sz w:val="24"/>
          <w:szCs w:val="24"/>
        </w:rPr>
        <w:t>dotychczas jesz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>cze się nie zetknęli lub</w:t>
      </w:r>
      <w:r w:rsidR="00EE635D">
        <w:rPr>
          <w:rFonts w:ascii="Times New Roman" w:eastAsia="Calibri" w:hAnsi="Times New Roman" w:cs="Times New Roman"/>
          <w:sz w:val="24"/>
          <w:szCs w:val="24"/>
        </w:rPr>
        <w:t>,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w których nie uczestniczyli.</w:t>
      </w:r>
    </w:p>
    <w:p w:rsidR="00660FFD" w:rsidRPr="00077D8D" w:rsidRDefault="00660FFD" w:rsidP="007719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FFD" w:rsidRPr="00077D8D" w:rsidRDefault="00660FFD" w:rsidP="007719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</w:t>
      </w:r>
      <w:r w:rsidR="00425330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aplikanci będą pisać po odbyciu praktyk po </w:t>
      </w:r>
      <w:r w:rsidR="00F825E9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0C2D0B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 (na początku </w:t>
      </w:r>
      <w:r w:rsidR="00F825E9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15C24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C2D0B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</w:t>
      </w:r>
      <w:r w:rsidR="00392456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25330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w dniu </w:t>
      </w:r>
      <w:r w:rsidR="000C2D0B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8 kwietnia</w:t>
      </w:r>
      <w:r w:rsidR="004B06E6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330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roku</w:t>
      </w:r>
      <w:r w:rsidR="00BA0B1F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 w:rsidR="000C2D0B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projektu </w:t>
      </w:r>
      <w:r w:rsidR="002B5BB6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prokuratora obejmującego m.in. ustosunkowanie się do zarzutów i wniosków zażalenia na jego postanowienie kończące postępowanie przygotowawcze, rozpoznawane na posiedzeniu sądu. </w:t>
      </w:r>
    </w:p>
    <w:p w:rsidR="00660FFD" w:rsidRPr="00077D8D" w:rsidRDefault="00660FFD" w:rsidP="007719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</w:t>
      </w:r>
      <w:r w:rsidR="00952113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 najwyższym stopniu.</w:t>
      </w:r>
    </w:p>
    <w:p w:rsidR="00AD0D24" w:rsidRPr="00077D8D" w:rsidRDefault="00AD0D24" w:rsidP="00077D8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077D8D" w:rsidRDefault="00660FFD" w:rsidP="00077D8D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077D8D" w:rsidRDefault="00660FFD" w:rsidP="00077D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Kierownik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60FFD" w:rsidRPr="0029196C" w:rsidRDefault="00660FFD" w:rsidP="00660F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</w:t>
      </w:r>
      <w:r w:rsidRPr="0029196C">
        <w:rPr>
          <w:rFonts w:ascii="Monotype Corsiva" w:eastAsia="Calibri" w:hAnsi="Monotype Corsiva" w:cs="Times New Roman"/>
          <w:b/>
          <w:sz w:val="24"/>
          <w:szCs w:val="24"/>
        </w:rPr>
        <w:t>Beata Padło</w:t>
      </w:r>
    </w:p>
    <w:p w:rsidR="000B4076" w:rsidRDefault="00660FFD" w:rsidP="00985EB3">
      <w:pPr>
        <w:spacing w:after="0" w:line="240" w:lineRule="auto"/>
        <w:jc w:val="center"/>
      </w:pPr>
      <w:r w:rsidRPr="00FA4AAD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sectPr w:rsidR="000B4076" w:rsidSect="001D1A5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41" w:rsidRDefault="00F24341">
      <w:pPr>
        <w:spacing w:after="0" w:line="240" w:lineRule="auto"/>
      </w:pPr>
      <w:r>
        <w:separator/>
      </w:r>
    </w:p>
  </w:endnote>
  <w:endnote w:type="continuationSeparator" w:id="0">
    <w:p w:rsidR="00F24341" w:rsidRDefault="00F2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41" w:rsidRDefault="00F24341">
      <w:pPr>
        <w:spacing w:after="0" w:line="240" w:lineRule="auto"/>
      </w:pPr>
      <w:r>
        <w:separator/>
      </w:r>
    </w:p>
  </w:footnote>
  <w:footnote w:type="continuationSeparator" w:id="0">
    <w:p w:rsidR="00F24341" w:rsidRDefault="00F2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Default="00DB7AEA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F3212A">
      <w:rPr>
        <w:noProof/>
      </w:rPr>
      <w:t>3</w:t>
    </w:r>
    <w:r>
      <w:fldChar w:fldCharType="end"/>
    </w:r>
  </w:p>
  <w:p w:rsidR="00DB7AEA" w:rsidRDefault="00DB7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Pr="00162921" w:rsidRDefault="00DB7AEA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C48114" wp14:editId="1598AE64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DB7AEA" w:rsidRDefault="00DB7AEA">
    <w:pPr>
      <w:pStyle w:val="Nagwek"/>
    </w:pPr>
  </w:p>
  <w:p w:rsidR="00DB7AEA" w:rsidRDefault="00DB7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8BB"/>
    <w:multiLevelType w:val="hybridMultilevel"/>
    <w:tmpl w:val="9410B9BC"/>
    <w:lvl w:ilvl="0" w:tplc="D778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55F96A21"/>
    <w:multiLevelType w:val="hybridMultilevel"/>
    <w:tmpl w:val="C84ECFF6"/>
    <w:lvl w:ilvl="0" w:tplc="754EC1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D"/>
    <w:rsid w:val="00042198"/>
    <w:rsid w:val="00077D8D"/>
    <w:rsid w:val="00087100"/>
    <w:rsid w:val="000A4A67"/>
    <w:rsid w:val="000B1D32"/>
    <w:rsid w:val="000B1D88"/>
    <w:rsid w:val="000B4076"/>
    <w:rsid w:val="000C2D0B"/>
    <w:rsid w:val="000D0A1F"/>
    <w:rsid w:val="00102347"/>
    <w:rsid w:val="00111B0F"/>
    <w:rsid w:val="00141D73"/>
    <w:rsid w:val="001C142B"/>
    <w:rsid w:val="001D09AB"/>
    <w:rsid w:val="001D1A57"/>
    <w:rsid w:val="002135D5"/>
    <w:rsid w:val="00226E59"/>
    <w:rsid w:val="002426F2"/>
    <w:rsid w:val="002441CF"/>
    <w:rsid w:val="00270932"/>
    <w:rsid w:val="00276E4C"/>
    <w:rsid w:val="00280C11"/>
    <w:rsid w:val="0029196C"/>
    <w:rsid w:val="002960B4"/>
    <w:rsid w:val="00296CD3"/>
    <w:rsid w:val="00297974"/>
    <w:rsid w:val="002B462C"/>
    <w:rsid w:val="002B5BB6"/>
    <w:rsid w:val="00305A26"/>
    <w:rsid w:val="00306294"/>
    <w:rsid w:val="0031196E"/>
    <w:rsid w:val="0032252A"/>
    <w:rsid w:val="00323E7C"/>
    <w:rsid w:val="00330EE2"/>
    <w:rsid w:val="00341C15"/>
    <w:rsid w:val="003451DD"/>
    <w:rsid w:val="0034555D"/>
    <w:rsid w:val="00371E39"/>
    <w:rsid w:val="00383BEA"/>
    <w:rsid w:val="003903D3"/>
    <w:rsid w:val="00392456"/>
    <w:rsid w:val="003B5E95"/>
    <w:rsid w:val="003C0125"/>
    <w:rsid w:val="004011E8"/>
    <w:rsid w:val="00425330"/>
    <w:rsid w:val="00432079"/>
    <w:rsid w:val="00462A66"/>
    <w:rsid w:val="00496E5E"/>
    <w:rsid w:val="004A33F9"/>
    <w:rsid w:val="004B06E6"/>
    <w:rsid w:val="004B6836"/>
    <w:rsid w:val="004D1D3C"/>
    <w:rsid w:val="004D7A28"/>
    <w:rsid w:val="004E4057"/>
    <w:rsid w:val="004E5462"/>
    <w:rsid w:val="00506E46"/>
    <w:rsid w:val="005155C4"/>
    <w:rsid w:val="005307D9"/>
    <w:rsid w:val="00577B26"/>
    <w:rsid w:val="00581AEC"/>
    <w:rsid w:val="0059112A"/>
    <w:rsid w:val="005A3E2F"/>
    <w:rsid w:val="005B78C8"/>
    <w:rsid w:val="005D0C5A"/>
    <w:rsid w:val="005F5C80"/>
    <w:rsid w:val="0061171D"/>
    <w:rsid w:val="00624ED6"/>
    <w:rsid w:val="0065031F"/>
    <w:rsid w:val="00651363"/>
    <w:rsid w:val="00655C39"/>
    <w:rsid w:val="00660FFD"/>
    <w:rsid w:val="00682FD1"/>
    <w:rsid w:val="00687172"/>
    <w:rsid w:val="0069156C"/>
    <w:rsid w:val="006A504F"/>
    <w:rsid w:val="006B3863"/>
    <w:rsid w:val="006C22EE"/>
    <w:rsid w:val="006E2CBA"/>
    <w:rsid w:val="007026B5"/>
    <w:rsid w:val="00703144"/>
    <w:rsid w:val="00725037"/>
    <w:rsid w:val="00733647"/>
    <w:rsid w:val="00735F0A"/>
    <w:rsid w:val="007576E7"/>
    <w:rsid w:val="0076538D"/>
    <w:rsid w:val="00771979"/>
    <w:rsid w:val="00772F9C"/>
    <w:rsid w:val="007817C5"/>
    <w:rsid w:val="00793115"/>
    <w:rsid w:val="00797033"/>
    <w:rsid w:val="007F3B02"/>
    <w:rsid w:val="00814B7D"/>
    <w:rsid w:val="00824091"/>
    <w:rsid w:val="008536E1"/>
    <w:rsid w:val="008545B5"/>
    <w:rsid w:val="00861382"/>
    <w:rsid w:val="008665FC"/>
    <w:rsid w:val="008724D4"/>
    <w:rsid w:val="00897131"/>
    <w:rsid w:val="008A7FC4"/>
    <w:rsid w:val="008B43E9"/>
    <w:rsid w:val="008E2680"/>
    <w:rsid w:val="00952113"/>
    <w:rsid w:val="00985EB3"/>
    <w:rsid w:val="00997F60"/>
    <w:rsid w:val="009A1EAD"/>
    <w:rsid w:val="009A675C"/>
    <w:rsid w:val="009D48A8"/>
    <w:rsid w:val="009E6880"/>
    <w:rsid w:val="00A044E7"/>
    <w:rsid w:val="00A06988"/>
    <w:rsid w:val="00A31B67"/>
    <w:rsid w:val="00A34C42"/>
    <w:rsid w:val="00A712CA"/>
    <w:rsid w:val="00A86044"/>
    <w:rsid w:val="00A96158"/>
    <w:rsid w:val="00AA1060"/>
    <w:rsid w:val="00AB3419"/>
    <w:rsid w:val="00AD0D24"/>
    <w:rsid w:val="00AE6E2C"/>
    <w:rsid w:val="00AF32A0"/>
    <w:rsid w:val="00AF40F4"/>
    <w:rsid w:val="00B114CD"/>
    <w:rsid w:val="00B53A8C"/>
    <w:rsid w:val="00B849C1"/>
    <w:rsid w:val="00B957F0"/>
    <w:rsid w:val="00B96AF5"/>
    <w:rsid w:val="00BA0B1F"/>
    <w:rsid w:val="00BA3AB1"/>
    <w:rsid w:val="00BE70E3"/>
    <w:rsid w:val="00BE7D39"/>
    <w:rsid w:val="00C26FEA"/>
    <w:rsid w:val="00C417AC"/>
    <w:rsid w:val="00C61EA0"/>
    <w:rsid w:val="00C628F0"/>
    <w:rsid w:val="00C75B8E"/>
    <w:rsid w:val="00CB543D"/>
    <w:rsid w:val="00D03B3A"/>
    <w:rsid w:val="00D131E1"/>
    <w:rsid w:val="00D15070"/>
    <w:rsid w:val="00D33685"/>
    <w:rsid w:val="00D5720A"/>
    <w:rsid w:val="00D8021C"/>
    <w:rsid w:val="00D83F9F"/>
    <w:rsid w:val="00D85949"/>
    <w:rsid w:val="00D85FEB"/>
    <w:rsid w:val="00D862B5"/>
    <w:rsid w:val="00D94B60"/>
    <w:rsid w:val="00DB7AEA"/>
    <w:rsid w:val="00DC3CDB"/>
    <w:rsid w:val="00DC4748"/>
    <w:rsid w:val="00DD6123"/>
    <w:rsid w:val="00DD7D15"/>
    <w:rsid w:val="00DE256F"/>
    <w:rsid w:val="00DE7A5F"/>
    <w:rsid w:val="00DF782C"/>
    <w:rsid w:val="00E12551"/>
    <w:rsid w:val="00E371D9"/>
    <w:rsid w:val="00E74B2E"/>
    <w:rsid w:val="00E90CA6"/>
    <w:rsid w:val="00EC497A"/>
    <w:rsid w:val="00EE3FA0"/>
    <w:rsid w:val="00EE635D"/>
    <w:rsid w:val="00F00354"/>
    <w:rsid w:val="00F103F8"/>
    <w:rsid w:val="00F15C24"/>
    <w:rsid w:val="00F24341"/>
    <w:rsid w:val="00F3212A"/>
    <w:rsid w:val="00F374BE"/>
    <w:rsid w:val="00F37C2B"/>
    <w:rsid w:val="00F50F49"/>
    <w:rsid w:val="00F75086"/>
    <w:rsid w:val="00F825E9"/>
    <w:rsid w:val="00F970D3"/>
    <w:rsid w:val="00FA3E0E"/>
    <w:rsid w:val="00FA4FDF"/>
    <w:rsid w:val="00FA57EF"/>
    <w:rsid w:val="00FB4F20"/>
    <w:rsid w:val="00FC313B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Beata Padło</cp:lastModifiedBy>
  <cp:revision>2</cp:revision>
  <cp:lastPrinted>2018-11-22T10:58:00Z</cp:lastPrinted>
  <dcterms:created xsi:type="dcterms:W3CDTF">2018-12-11T08:23:00Z</dcterms:created>
  <dcterms:modified xsi:type="dcterms:W3CDTF">2018-12-11T08:23:00Z</dcterms:modified>
</cp:coreProperties>
</file>